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D8DB" w14:textId="77777777" w:rsidR="000F69FB" w:rsidRPr="00C803F3" w:rsidRDefault="000F69FB"/>
    <w:p w14:paraId="3AE4D8DC" w14:textId="77777777" w:rsidR="00F43AFB" w:rsidRDefault="00F43AFB" w:rsidP="00F43AFB">
      <w:pPr>
        <w:jc w:val="both"/>
        <w:rPr>
          <w:rFonts w:cs="Arial"/>
          <w:b/>
          <w:sz w:val="28"/>
          <w:szCs w:val="28"/>
        </w:rPr>
      </w:pPr>
      <w:bookmarkStart w:id="0" w:name="Title"/>
      <w:bookmarkEnd w:id="0"/>
      <w:r>
        <w:rPr>
          <w:rFonts w:cs="Arial"/>
          <w:b/>
          <w:sz w:val="28"/>
          <w:szCs w:val="28"/>
        </w:rPr>
        <w:t>Workforce Report</w:t>
      </w:r>
      <w:r w:rsidRPr="00B72A7F">
        <w:rPr>
          <w:rFonts w:cs="Arial"/>
          <w:b/>
          <w:sz w:val="28"/>
          <w:szCs w:val="28"/>
        </w:rPr>
        <w:t xml:space="preserve"> </w:t>
      </w:r>
      <w:r>
        <w:rPr>
          <w:rFonts w:cs="Arial"/>
          <w:b/>
          <w:sz w:val="28"/>
          <w:szCs w:val="28"/>
        </w:rPr>
        <w:t xml:space="preserve"> </w:t>
      </w:r>
    </w:p>
    <w:p w14:paraId="3AE4D8DD" w14:textId="77777777" w:rsidR="009B6F95" w:rsidRPr="00C803F3" w:rsidRDefault="009B6F95" w:rsidP="00F43AFB">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AE4D8D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AE4D8DF" w14:textId="77777777" w:rsidR="00795C95" w:rsidRDefault="00E37C8D" w:rsidP="00B84F31">
          <w:pPr>
            <w:ind w:left="0" w:firstLine="0"/>
            <w:rPr>
              <w:rStyle w:val="Title3Char"/>
            </w:rPr>
          </w:pPr>
          <w:r>
            <w:rPr>
              <w:rStyle w:val="Title3Char"/>
            </w:rPr>
            <w:t>For information.</w:t>
          </w:r>
        </w:p>
      </w:sdtContent>
    </w:sdt>
    <w:p w14:paraId="3AE4D8E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3AE4D8E1" w14:textId="77777777" w:rsidR="009B6F95" w:rsidRPr="00A627DD" w:rsidRDefault="009B6F95" w:rsidP="00B84F31">
          <w:pPr>
            <w:ind w:left="0" w:firstLine="0"/>
          </w:pPr>
          <w:r w:rsidRPr="00C803F3">
            <w:rPr>
              <w:rStyle w:val="Style6"/>
            </w:rPr>
            <w:t>Summary</w:t>
          </w:r>
        </w:p>
      </w:sdtContent>
    </w:sdt>
    <w:p w14:paraId="3AE4D8E2" w14:textId="77777777" w:rsidR="00E37C8D" w:rsidRPr="009D4A1C" w:rsidRDefault="00E37C8D" w:rsidP="00E37C8D">
      <w:pPr>
        <w:jc w:val="both"/>
        <w:rPr>
          <w:rFonts w:cs="Arial"/>
        </w:rPr>
      </w:pPr>
      <w:r w:rsidRPr="009D4A1C">
        <w:rPr>
          <w:rFonts w:cs="Arial"/>
        </w:rPr>
        <w:t xml:space="preserve">This briefly describes the main industrial relations and pension issues at present.  </w:t>
      </w:r>
    </w:p>
    <w:p w14:paraId="3AE4D8E3" w14:textId="77777777" w:rsidR="009B6F95" w:rsidRDefault="009B6F95" w:rsidP="00B84F31">
      <w:pPr>
        <w:pStyle w:val="Title3"/>
      </w:pPr>
    </w:p>
    <w:p w14:paraId="3AE4D8E4"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AE4D95A" wp14:editId="3AE4D95B">
                <wp:simplePos x="0" y="0"/>
                <wp:positionH relativeFrom="margin">
                  <wp:posOffset>61255</wp:posOffset>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4D96E" w14:textId="77777777" w:rsidR="00954CCD" w:rsidRDefault="00954CCD"/>
                          <w:sdt>
                            <w:sdtPr>
                              <w:rPr>
                                <w:rStyle w:val="Style6"/>
                              </w:rPr>
                              <w:alias w:val="Recommendations"/>
                              <w:tag w:val="Recommendations"/>
                              <w:id w:val="-1634171231"/>
                              <w:placeholder>
                                <w:docPart w:val="6A9E8857DB8647FABF64567742B78AD3"/>
                              </w:placeholder>
                            </w:sdtPr>
                            <w:sdtEndPr>
                              <w:rPr>
                                <w:rStyle w:val="Style6"/>
                              </w:rPr>
                            </w:sdtEndPr>
                            <w:sdtContent>
                              <w:p w14:paraId="3AE4D96F" w14:textId="77777777" w:rsidR="00954CCD" w:rsidRPr="00A627DD" w:rsidRDefault="00954CCD" w:rsidP="00B84F31">
                                <w:pPr>
                                  <w:ind w:left="0" w:firstLine="0"/>
                                </w:pPr>
                                <w:r>
                                  <w:rPr>
                                    <w:rStyle w:val="Style6"/>
                                  </w:rPr>
                                  <w:t>Recommendation</w:t>
                                </w:r>
                              </w:p>
                            </w:sdtContent>
                          </w:sdt>
                          <w:p w14:paraId="3AE4D970" w14:textId="77777777" w:rsidR="00954CCD" w:rsidRPr="004F4241" w:rsidRDefault="00954CCD" w:rsidP="00E37C8D">
                            <w:pPr>
                              <w:jc w:val="both"/>
                              <w:rPr>
                                <w:rFonts w:cs="Arial"/>
                              </w:rPr>
                            </w:pPr>
                            <w:r w:rsidRPr="004F4241">
                              <w:rPr>
                                <w:rFonts w:cs="Arial"/>
                              </w:rPr>
                              <w:t xml:space="preserve">Members are asked to note the issues set out in the paper. </w:t>
                            </w:r>
                          </w:p>
                          <w:p w14:paraId="3AE4D971" w14:textId="77777777" w:rsidR="00954CCD" w:rsidRPr="00A627DD" w:rsidRDefault="00D71B3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54CCD">
                                  <w:rPr>
                                    <w:rStyle w:val="Style6"/>
                                  </w:rPr>
                                  <w:t>Action</w:t>
                                </w:r>
                              </w:sdtContent>
                            </w:sdt>
                          </w:p>
                          <w:p w14:paraId="3AE4D972" w14:textId="77777777" w:rsidR="00954CCD" w:rsidRPr="00B84F31" w:rsidRDefault="00954CCD" w:rsidP="00B84F31">
                            <w:pPr>
                              <w:pStyle w:val="Title3"/>
                              <w:ind w:left="0" w:firstLine="0"/>
                            </w:pPr>
                            <w:r>
                              <w:t>Officers are asked to note member comments</w:t>
                            </w:r>
                          </w:p>
                          <w:p w14:paraId="3AE4D973" w14:textId="77777777" w:rsidR="00954CCD" w:rsidRDefault="00954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35A2B" id="_x0000_t202" coordsize="21600,21600" o:spt="202" path="m,l,21600r21600,l21600,xe">
                <v:stroke joinstyle="miter"/>
                <v:path gradientshapeok="t" o:connecttype="rect"/>
              </v:shapetype>
              <v:shape id="Text Box 1" o:spid="_x0000_s1026" type="#_x0000_t202" style="position:absolute;left:0;text-align:left;margin-left:4.8pt;margin-top:5.6pt;width:449.2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" fillcolor="white [3201]" strokeweight=".5pt">
                <v:textbox>
                  <w:txbxContent>
                    <w:p w:rsidR="00954CCD" w:rsidRDefault="00954CCD"/>
                    <w:sdt>
                      <w:sdtPr>
                        <w:rPr>
                          <w:rStyle w:val="Style6"/>
                        </w:rPr>
                        <w:alias w:val="Recommendations"/>
                        <w:tag w:val="Recommendations"/>
                        <w:id w:val="-1634171231"/>
                        <w:placeholder>
                          <w:docPart w:val="6A9E8857DB8647FABF64567742B78AD3"/>
                        </w:placeholder>
                      </w:sdtPr>
                      <w:sdtEndPr>
                        <w:rPr>
                          <w:rStyle w:val="Style6"/>
                        </w:rPr>
                      </w:sdtEndPr>
                      <w:sdtContent>
                        <w:p w:rsidR="00954CCD" w:rsidRPr="00A627DD" w:rsidRDefault="00954CCD" w:rsidP="00B84F31">
                          <w:pPr>
                            <w:ind w:left="0" w:firstLine="0"/>
                          </w:pPr>
                          <w:r>
                            <w:rPr>
                              <w:rStyle w:val="Style6"/>
                            </w:rPr>
                            <w:t>Recommendation</w:t>
                          </w:r>
                        </w:p>
                      </w:sdtContent>
                    </w:sdt>
                    <w:p w:rsidR="00954CCD" w:rsidRPr="004F4241" w:rsidRDefault="00954CCD" w:rsidP="00E37C8D">
                      <w:pPr>
                        <w:jc w:val="both"/>
                        <w:rPr>
                          <w:rFonts w:cs="Arial"/>
                        </w:rPr>
                      </w:pPr>
                      <w:r w:rsidRPr="004F4241">
                        <w:rPr>
                          <w:rFonts w:cs="Arial"/>
                        </w:rPr>
                        <w:t xml:space="preserve">Members are asked to note the issues set out in the paper. </w:t>
                      </w:r>
                    </w:p>
                    <w:p w:rsidR="00954CCD" w:rsidRPr="00A627DD" w:rsidRDefault="00277B4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54CCD">
                            <w:rPr>
                              <w:rStyle w:val="Style6"/>
                            </w:rPr>
                            <w:t>Action</w:t>
                          </w:r>
                        </w:sdtContent>
                      </w:sdt>
                    </w:p>
                    <w:p w:rsidR="00954CCD" w:rsidRPr="00B84F31" w:rsidRDefault="00954CCD" w:rsidP="00B84F31">
                      <w:pPr>
                        <w:pStyle w:val="Title3"/>
                        <w:ind w:left="0" w:firstLine="0"/>
                      </w:pPr>
                      <w:r>
                        <w:t>Officers are asked to note member comments</w:t>
                      </w:r>
                    </w:p>
                    <w:p w:rsidR="00954CCD" w:rsidRDefault="00954CCD"/>
                  </w:txbxContent>
                </v:textbox>
                <w10:wrap anchorx="margin"/>
              </v:shape>
            </w:pict>
          </mc:Fallback>
        </mc:AlternateContent>
      </w:r>
    </w:p>
    <w:p w14:paraId="3AE4D8E5" w14:textId="77777777" w:rsidR="009B6F95" w:rsidRDefault="009B6F95" w:rsidP="00B84F31">
      <w:pPr>
        <w:pStyle w:val="Title3"/>
      </w:pPr>
    </w:p>
    <w:p w14:paraId="3AE4D8E6" w14:textId="77777777" w:rsidR="009B6F95" w:rsidRDefault="009B6F95" w:rsidP="00B84F31">
      <w:pPr>
        <w:pStyle w:val="Title3"/>
      </w:pPr>
    </w:p>
    <w:p w14:paraId="3AE4D8E7" w14:textId="77777777" w:rsidR="009B6F95" w:rsidRDefault="009B6F95" w:rsidP="00B84F31">
      <w:pPr>
        <w:pStyle w:val="Title3"/>
      </w:pPr>
    </w:p>
    <w:p w14:paraId="3AE4D8E8" w14:textId="77777777" w:rsidR="009B6F95" w:rsidRDefault="009B6F95" w:rsidP="00B84F31">
      <w:pPr>
        <w:pStyle w:val="Title3"/>
      </w:pPr>
    </w:p>
    <w:p w14:paraId="3AE4D8E9" w14:textId="77777777" w:rsidR="009B6F95" w:rsidRDefault="009B6F95" w:rsidP="00B84F31">
      <w:pPr>
        <w:pStyle w:val="Title3"/>
      </w:pPr>
    </w:p>
    <w:p w14:paraId="3AE4D8EA" w14:textId="77777777" w:rsidR="009B6F95" w:rsidRDefault="009B6F95" w:rsidP="00B84F31">
      <w:pPr>
        <w:pStyle w:val="Title3"/>
      </w:pPr>
    </w:p>
    <w:p w14:paraId="3AE4D8EB" w14:textId="77777777" w:rsidR="009B6F95" w:rsidRDefault="009B6F95" w:rsidP="00B84F31">
      <w:pPr>
        <w:pStyle w:val="Title3"/>
      </w:pPr>
    </w:p>
    <w:p w14:paraId="3AE4D8EC" w14:textId="77777777" w:rsidR="009B6F95" w:rsidRDefault="009B6F95" w:rsidP="00B84F31">
      <w:pPr>
        <w:pStyle w:val="Title3"/>
      </w:pPr>
    </w:p>
    <w:tbl>
      <w:tblPr>
        <w:tblW w:w="0" w:type="auto"/>
        <w:tblLook w:val="01E0" w:firstRow="1" w:lastRow="1" w:firstColumn="1" w:lastColumn="1" w:noHBand="0" w:noVBand="0"/>
      </w:tblPr>
      <w:tblGrid>
        <w:gridCol w:w="2271"/>
        <w:gridCol w:w="3456"/>
        <w:gridCol w:w="3204"/>
      </w:tblGrid>
      <w:tr w:rsidR="00E37C8D" w:rsidRPr="008E647D" w14:paraId="3AE4D8F0" w14:textId="77777777" w:rsidTr="00E37C8D">
        <w:trPr>
          <w:trHeight w:val="410"/>
        </w:trPr>
        <w:tc>
          <w:tcPr>
            <w:tcW w:w="2271" w:type="dxa"/>
          </w:tcPr>
          <w:p w14:paraId="3AE4D8ED"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3AE4D8EE"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204" w:type="dxa"/>
          </w:tcPr>
          <w:p w14:paraId="3AE4D8EF"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E37C8D" w:rsidRPr="008E647D" w14:paraId="3AE4D8F4" w14:textId="77777777" w:rsidTr="00E37C8D">
        <w:trPr>
          <w:trHeight w:val="394"/>
        </w:trPr>
        <w:tc>
          <w:tcPr>
            <w:tcW w:w="2271" w:type="dxa"/>
          </w:tcPr>
          <w:p w14:paraId="3AE4D8F1"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3AE4D8F2"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204" w:type="dxa"/>
          </w:tcPr>
          <w:p w14:paraId="3AE4D8F3"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Fire Pensions Adviser</w:t>
            </w:r>
          </w:p>
        </w:tc>
      </w:tr>
      <w:tr w:rsidR="00E37C8D" w:rsidRPr="008E647D" w14:paraId="3AE4D8F8" w14:textId="77777777" w:rsidTr="00E37C8D">
        <w:trPr>
          <w:trHeight w:val="410"/>
        </w:trPr>
        <w:tc>
          <w:tcPr>
            <w:tcW w:w="2271" w:type="dxa"/>
          </w:tcPr>
          <w:p w14:paraId="3AE4D8F5"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3AE4D8F6"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204" w:type="dxa"/>
          </w:tcPr>
          <w:p w14:paraId="3AE4D8F7"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 xml:space="preserve">020 </w:t>
            </w:r>
            <w:r w:rsidRPr="00B72A7F">
              <w:rPr>
                <w:rFonts w:ascii="Arial" w:hAnsi="Arial" w:cs="Arial"/>
                <w:color w:val="000000"/>
                <w:sz w:val="23"/>
                <w:szCs w:val="23"/>
              </w:rPr>
              <w:t>7664 3189</w:t>
            </w:r>
            <w:r>
              <w:rPr>
                <w:rFonts w:ascii="Arial" w:hAnsi="Arial" w:cs="Arial"/>
                <w:sz w:val="23"/>
                <w:szCs w:val="23"/>
              </w:rPr>
              <w:t xml:space="preserve"> </w:t>
            </w:r>
          </w:p>
        </w:tc>
      </w:tr>
      <w:tr w:rsidR="00E37C8D" w:rsidRPr="008E647D" w14:paraId="3AE4D8FC" w14:textId="77777777" w:rsidTr="00E37C8D">
        <w:trPr>
          <w:trHeight w:val="394"/>
        </w:trPr>
        <w:tc>
          <w:tcPr>
            <w:tcW w:w="2271" w:type="dxa"/>
          </w:tcPr>
          <w:p w14:paraId="3AE4D8F9"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3AE4D8FA"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204" w:type="dxa"/>
          </w:tcPr>
          <w:p w14:paraId="3AE4D8FB"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E37C8D" w14:paraId="3AE4D900" w14:textId="77777777" w:rsidTr="00E37C8D">
        <w:trPr>
          <w:trHeight w:val="410"/>
        </w:trPr>
        <w:tc>
          <w:tcPr>
            <w:tcW w:w="2271" w:type="dxa"/>
          </w:tcPr>
          <w:p w14:paraId="3AE4D8FD" w14:textId="77777777" w:rsidR="00E37C8D" w:rsidRPr="008E647D" w:rsidRDefault="00E37C8D" w:rsidP="00E37C8D">
            <w:pPr>
              <w:pStyle w:val="MainText"/>
              <w:spacing w:after="120" w:line="240" w:lineRule="auto"/>
              <w:jc w:val="both"/>
              <w:rPr>
                <w:rFonts w:ascii="Arial" w:hAnsi="Arial" w:cs="Arial"/>
                <w:b/>
                <w:sz w:val="23"/>
                <w:szCs w:val="23"/>
              </w:rPr>
            </w:pPr>
          </w:p>
        </w:tc>
        <w:tc>
          <w:tcPr>
            <w:tcW w:w="3456" w:type="dxa"/>
          </w:tcPr>
          <w:p w14:paraId="3AE4D8FE"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p>
        </w:tc>
        <w:tc>
          <w:tcPr>
            <w:tcW w:w="3204" w:type="dxa"/>
          </w:tcPr>
          <w:p w14:paraId="3AE4D8FF" w14:textId="77777777" w:rsidR="00E37C8D" w:rsidRDefault="00E37C8D" w:rsidP="00E37C8D">
            <w:pPr>
              <w:pStyle w:val="MainText"/>
              <w:tabs>
                <w:tab w:val="left" w:pos="4578"/>
              </w:tabs>
              <w:spacing w:after="120" w:line="240" w:lineRule="auto"/>
              <w:jc w:val="both"/>
              <w:rPr>
                <w:rFonts w:ascii="Arial" w:hAnsi="Arial" w:cs="Arial"/>
                <w:sz w:val="23"/>
                <w:szCs w:val="23"/>
              </w:rPr>
            </w:pPr>
          </w:p>
        </w:tc>
      </w:tr>
    </w:tbl>
    <w:p w14:paraId="3AE4D901" w14:textId="77777777" w:rsidR="009B6F95" w:rsidRDefault="009B6F95" w:rsidP="00B84F31">
      <w:pPr>
        <w:pStyle w:val="Title3"/>
      </w:pPr>
    </w:p>
    <w:p w14:paraId="3AE4D902" w14:textId="77777777" w:rsidR="009B6F95" w:rsidRPr="00E8118A" w:rsidRDefault="009B6F95" w:rsidP="00B84F31">
      <w:pPr>
        <w:pStyle w:val="Title3"/>
      </w:pPr>
    </w:p>
    <w:p w14:paraId="3AE4D903" w14:textId="77777777" w:rsidR="009B6F95" w:rsidRPr="00C803F3" w:rsidRDefault="009B6F95" w:rsidP="00B84F31">
      <w:pPr>
        <w:pStyle w:val="Title3"/>
      </w:pPr>
      <w:r w:rsidRPr="00C803F3">
        <w:t xml:space="preserve"> </w:t>
      </w:r>
    </w:p>
    <w:p w14:paraId="3AE4D904" w14:textId="77777777" w:rsidR="009B6F95" w:rsidRPr="00C803F3" w:rsidRDefault="009B6F95"/>
    <w:p w14:paraId="3AE4D905" w14:textId="77777777" w:rsidR="009B6F95" w:rsidRPr="00C803F3" w:rsidRDefault="009B6F95"/>
    <w:p w14:paraId="3AE4D906" w14:textId="77777777" w:rsidR="009B6F95" w:rsidRPr="00C803F3" w:rsidRDefault="009B6F95"/>
    <w:p w14:paraId="3AE4D907" w14:textId="77777777" w:rsidR="00C803F3" w:rsidRPr="002865BF" w:rsidRDefault="00F43AFB" w:rsidP="00E37C8D">
      <w:pPr>
        <w:ind w:left="0" w:firstLine="0"/>
        <w:jc w:val="both"/>
        <w:rPr>
          <w:rFonts w:cs="Arial"/>
          <w:b/>
          <w:sz w:val="24"/>
          <w:szCs w:val="24"/>
        </w:rPr>
      </w:pPr>
      <w:r w:rsidRPr="002865BF">
        <w:rPr>
          <w:rFonts w:cs="Arial"/>
          <w:b/>
          <w:sz w:val="24"/>
          <w:szCs w:val="24"/>
        </w:rPr>
        <w:lastRenderedPageBreak/>
        <w:t xml:space="preserve">Workforce Report  </w:t>
      </w:r>
      <w:r w:rsidR="000F69FB" w:rsidRPr="002865BF">
        <w:rPr>
          <w:sz w:val="24"/>
          <w:szCs w:val="24"/>
        </w:rPr>
        <w:fldChar w:fldCharType="begin"/>
      </w:r>
      <w:r w:rsidR="000F69FB" w:rsidRPr="002865BF">
        <w:rPr>
          <w:sz w:val="24"/>
          <w:szCs w:val="24"/>
        </w:rPr>
        <w:instrText xml:space="preserve"> REF  Title \h \*MERGEFORMAT </w:instrText>
      </w:r>
      <w:r w:rsidR="000F69FB" w:rsidRPr="002865BF">
        <w:rPr>
          <w:sz w:val="24"/>
          <w:szCs w:val="24"/>
        </w:rPr>
      </w:r>
      <w:r w:rsidR="000F69FB" w:rsidRPr="002865BF">
        <w:rPr>
          <w:sz w:val="24"/>
          <w:szCs w:val="24"/>
        </w:rPr>
        <w:fldChar w:fldCharType="end"/>
      </w:r>
    </w:p>
    <w:p w14:paraId="3AE4D908" w14:textId="77777777" w:rsidR="002865BF" w:rsidRPr="002865BF" w:rsidRDefault="00277B4E" w:rsidP="002865BF">
      <w:pPr>
        <w:spacing w:after="0" w:line="240" w:lineRule="auto"/>
        <w:ind w:left="720" w:hanging="720"/>
        <w:rPr>
          <w:rFonts w:eastAsia="Times New Roman" w:cs="Arial"/>
          <w:b/>
          <w:lang w:eastAsia="en-GB"/>
        </w:rPr>
      </w:pPr>
      <w:r w:rsidRPr="002865BF">
        <w:rPr>
          <w:rFonts w:eastAsia="Times New Roman" w:cs="Arial"/>
          <w:b/>
          <w:lang w:eastAsia="en-GB"/>
        </w:rPr>
        <w:t>Pensions</w:t>
      </w:r>
    </w:p>
    <w:p w14:paraId="3AE4D909" w14:textId="77777777" w:rsidR="002865BF" w:rsidRPr="002865BF" w:rsidRDefault="002865BF" w:rsidP="002865BF">
      <w:pPr>
        <w:widowControl w:val="0"/>
        <w:overflowPunct w:val="0"/>
        <w:autoSpaceDE w:val="0"/>
        <w:autoSpaceDN w:val="0"/>
        <w:adjustRightInd w:val="0"/>
        <w:spacing w:after="200"/>
        <w:ind w:left="0" w:firstLine="0"/>
        <w:contextualSpacing/>
        <w:jc w:val="both"/>
        <w:textAlignment w:val="baseline"/>
        <w:rPr>
          <w:rFonts w:eastAsia="Times New Roman" w:cs="Arial"/>
          <w:lang w:eastAsia="en-GB"/>
        </w:rPr>
      </w:pPr>
    </w:p>
    <w:p w14:paraId="3AE4D90A" w14:textId="77777777" w:rsidR="002865BF" w:rsidRPr="00277B4E" w:rsidRDefault="002865BF" w:rsidP="002865BF">
      <w:pPr>
        <w:spacing w:after="0" w:line="240" w:lineRule="auto"/>
        <w:ind w:left="567" w:hanging="567"/>
        <w:jc w:val="both"/>
        <w:rPr>
          <w:rFonts w:eastAsia="Times New Roman" w:cs="Arial"/>
          <w:lang w:val="en-US"/>
        </w:rPr>
      </w:pPr>
      <w:r w:rsidRPr="00277B4E">
        <w:rPr>
          <w:rFonts w:eastAsia="Times New Roman" w:cs="Arial"/>
          <w:lang w:val="en-US"/>
        </w:rPr>
        <w:t>Valuation Consultation</w:t>
      </w:r>
    </w:p>
    <w:p w14:paraId="3AE4D90B" w14:textId="77777777" w:rsidR="002865BF" w:rsidRPr="002865BF" w:rsidRDefault="002865BF" w:rsidP="002865BF">
      <w:pPr>
        <w:autoSpaceDE w:val="0"/>
        <w:autoSpaceDN w:val="0"/>
        <w:adjustRightInd w:val="0"/>
        <w:spacing w:after="0" w:line="240" w:lineRule="auto"/>
        <w:ind w:left="0" w:firstLine="0"/>
        <w:jc w:val="both"/>
        <w:rPr>
          <w:rFonts w:eastAsia="Times New Roman" w:cs="Arial"/>
          <w:noProof/>
          <w:color w:val="000000"/>
          <w:lang w:eastAsia="en-GB"/>
        </w:rPr>
      </w:pPr>
      <w:r w:rsidRPr="002865BF">
        <w:rPr>
          <w:rFonts w:eastAsia="Times New Roman" w:cs="Arial"/>
          <w:noProof/>
          <w:color w:val="000000"/>
          <w:lang w:eastAsia="en-GB"/>
        </w:rPr>
        <w:t xml:space="preserve"> </w:t>
      </w:r>
    </w:p>
    <w:p w14:paraId="3AE4D90C" w14:textId="77777777" w:rsidR="002865BF" w:rsidRPr="002865BF" w:rsidRDefault="002865BF" w:rsidP="00D71B38">
      <w:pPr>
        <w:numPr>
          <w:ilvl w:val="0"/>
          <w:numId w:val="9"/>
        </w:numPr>
        <w:autoSpaceDE w:val="0"/>
        <w:autoSpaceDN w:val="0"/>
        <w:adjustRightInd w:val="0"/>
        <w:spacing w:after="0" w:line="240" w:lineRule="auto"/>
        <w:ind w:left="426" w:hanging="426"/>
        <w:jc w:val="both"/>
        <w:rPr>
          <w:rFonts w:eastAsia="Times New Roman" w:cs="Arial"/>
          <w:noProof/>
          <w:color w:val="000000"/>
          <w:lang w:eastAsia="en-GB"/>
        </w:rPr>
      </w:pPr>
      <w:r w:rsidRPr="002865BF">
        <w:rPr>
          <w:rFonts w:eastAsia="Times New Roman" w:cs="Arial"/>
          <w:noProof/>
          <w:color w:val="000000"/>
          <w:lang w:eastAsia="en-GB"/>
        </w:rPr>
        <w:t xml:space="preserve">As previously advised the results of the 2016 valuation mean that the </w:t>
      </w:r>
      <w:r w:rsidR="00277B4E">
        <w:rPr>
          <w:rFonts w:eastAsia="Times New Roman" w:cs="Arial"/>
          <w:bCs/>
          <w:noProof/>
          <w:color w:val="000000"/>
          <w:lang w:eastAsia="en-GB"/>
        </w:rPr>
        <w:t>employer cost cap floor of 14.8 per cent</w:t>
      </w:r>
      <w:r w:rsidRPr="002865BF">
        <w:rPr>
          <w:rFonts w:eastAsia="Times New Roman" w:cs="Arial"/>
          <w:bCs/>
          <w:noProof/>
          <w:color w:val="000000"/>
          <w:lang w:eastAsia="en-GB"/>
        </w:rPr>
        <w:t xml:space="preserve"> has been breached and improvements need to be made to rectify the breach.  As required by the </w:t>
      </w:r>
      <w:r w:rsidRPr="002865BF">
        <w:rPr>
          <w:rFonts w:eastAsia="Times New Roman" w:cs="Arial"/>
          <w:noProof/>
          <w:color w:val="000000"/>
          <w:lang w:eastAsia="en-GB"/>
        </w:rPr>
        <w:t xml:space="preserve">regulations, the scheme advisory board must consult with the Home Office on the action to bring the cost back within the target cost. </w:t>
      </w:r>
    </w:p>
    <w:p w14:paraId="3AE4D90D" w14:textId="77777777" w:rsidR="002865BF" w:rsidRPr="002865BF" w:rsidRDefault="002865BF" w:rsidP="002865BF">
      <w:pPr>
        <w:autoSpaceDE w:val="0"/>
        <w:autoSpaceDN w:val="0"/>
        <w:adjustRightInd w:val="0"/>
        <w:spacing w:after="0" w:line="240" w:lineRule="auto"/>
        <w:ind w:left="567" w:firstLine="0"/>
        <w:jc w:val="both"/>
        <w:rPr>
          <w:rFonts w:eastAsia="Times New Roman" w:cs="Arial"/>
          <w:noProof/>
          <w:color w:val="000000"/>
          <w:lang w:eastAsia="en-GB"/>
        </w:rPr>
      </w:pPr>
    </w:p>
    <w:p w14:paraId="3AE4D90E" w14:textId="77777777" w:rsidR="002865BF" w:rsidRPr="002865BF" w:rsidRDefault="002865BF" w:rsidP="00D71B38">
      <w:pPr>
        <w:numPr>
          <w:ilvl w:val="0"/>
          <w:numId w:val="9"/>
        </w:numPr>
        <w:autoSpaceDE w:val="0"/>
        <w:autoSpaceDN w:val="0"/>
        <w:adjustRightInd w:val="0"/>
        <w:spacing w:after="0" w:line="240" w:lineRule="auto"/>
        <w:ind w:left="426" w:hanging="426"/>
        <w:jc w:val="both"/>
        <w:rPr>
          <w:rFonts w:eastAsia="Times New Roman" w:cs="Arial"/>
          <w:noProof/>
          <w:color w:val="000000"/>
          <w:lang w:eastAsia="en-GB"/>
        </w:rPr>
      </w:pPr>
      <w:r w:rsidRPr="002865BF">
        <w:rPr>
          <w:rFonts w:eastAsia="Times New Roman" w:cs="Arial"/>
          <w:noProof/>
          <w:color w:val="000000"/>
          <w:lang w:eastAsia="en-GB"/>
        </w:rPr>
        <w:t>The scheme advisory board have now submitted their proposal to improve the early retirement factors based on the same principles as Scotland and Wales.  It should be noted that this might be difficult to achieve</w:t>
      </w:r>
      <w:r w:rsidR="007D47C1">
        <w:rPr>
          <w:rFonts w:eastAsia="Times New Roman" w:cs="Arial"/>
          <w:noProof/>
          <w:color w:val="000000"/>
          <w:lang w:eastAsia="en-GB"/>
        </w:rPr>
        <w:t>;</w:t>
      </w:r>
      <w:r w:rsidRPr="002865BF">
        <w:rPr>
          <w:rFonts w:eastAsia="Times New Roman" w:cs="Arial"/>
          <w:noProof/>
          <w:color w:val="000000"/>
          <w:lang w:eastAsia="en-GB"/>
        </w:rPr>
        <w:t xml:space="preserve"> early retirement terms were part of the negotiated package at the introduction of the 2015 scheme and government did not agree to early retirement terms as had been brought into Scotland and Wales.  It should also be noted that changing early retirement terms could lead to changing employment trends.</w:t>
      </w:r>
    </w:p>
    <w:p w14:paraId="3AE4D90F" w14:textId="77777777" w:rsidR="002865BF" w:rsidRPr="002865BF" w:rsidRDefault="002865BF" w:rsidP="002865BF">
      <w:pPr>
        <w:spacing w:after="0" w:line="240" w:lineRule="auto"/>
        <w:ind w:left="720" w:firstLine="0"/>
        <w:rPr>
          <w:rFonts w:eastAsia="Times New Roman" w:cs="Arial"/>
          <w:noProof/>
          <w:color w:val="000000"/>
          <w:lang w:eastAsia="en-GB"/>
        </w:rPr>
      </w:pPr>
    </w:p>
    <w:p w14:paraId="3AE4D910" w14:textId="77777777" w:rsidR="002865BF" w:rsidRPr="002865BF" w:rsidRDefault="002865BF" w:rsidP="00D71B38">
      <w:pPr>
        <w:numPr>
          <w:ilvl w:val="0"/>
          <w:numId w:val="9"/>
        </w:numPr>
        <w:autoSpaceDE w:val="0"/>
        <w:autoSpaceDN w:val="0"/>
        <w:adjustRightInd w:val="0"/>
        <w:spacing w:after="0" w:line="240" w:lineRule="auto"/>
        <w:ind w:left="426" w:hanging="426"/>
        <w:jc w:val="both"/>
        <w:rPr>
          <w:rFonts w:eastAsia="Times New Roman" w:cs="Arial"/>
          <w:noProof/>
          <w:color w:val="000000"/>
          <w:lang w:eastAsia="en-GB"/>
        </w:rPr>
      </w:pPr>
      <w:r w:rsidRPr="002865BF">
        <w:rPr>
          <w:rFonts w:eastAsia="Times New Roman" w:cs="Arial"/>
          <w:noProof/>
          <w:color w:val="000000"/>
          <w:lang w:eastAsia="en-GB"/>
        </w:rPr>
        <w:t>The board are awaiting the Home Office response after which there is a three month timeframe in which to further consult.  If no agreement can be reached with Home Office the default mechanism is to amend the rate at which benefits accrue, which would introduce an improved accrual rate of 1/51.2</w:t>
      </w:r>
    </w:p>
    <w:p w14:paraId="3AE4D911" w14:textId="77777777" w:rsidR="002865BF" w:rsidRPr="002865BF" w:rsidRDefault="002865BF" w:rsidP="002865BF">
      <w:pPr>
        <w:autoSpaceDE w:val="0"/>
        <w:autoSpaceDN w:val="0"/>
        <w:adjustRightInd w:val="0"/>
        <w:spacing w:after="0" w:line="240" w:lineRule="auto"/>
        <w:ind w:left="0" w:firstLine="0"/>
        <w:jc w:val="both"/>
        <w:rPr>
          <w:rFonts w:eastAsia="Times New Roman" w:cs="Arial"/>
          <w:noProof/>
          <w:color w:val="000000"/>
          <w:lang w:eastAsia="en-GB"/>
        </w:rPr>
      </w:pPr>
      <w:r w:rsidRPr="002865BF">
        <w:rPr>
          <w:rFonts w:eastAsia="Times New Roman" w:cs="Arial"/>
          <w:noProof/>
          <w:color w:val="000000"/>
          <w:lang w:eastAsia="en-GB"/>
        </w:rPr>
        <w:t xml:space="preserve">  </w:t>
      </w:r>
    </w:p>
    <w:p w14:paraId="3AE4D912" w14:textId="77777777" w:rsidR="002865BF" w:rsidRPr="00277B4E" w:rsidRDefault="002865BF" w:rsidP="002865BF">
      <w:pPr>
        <w:spacing w:after="0" w:line="240" w:lineRule="auto"/>
        <w:ind w:left="567" w:hanging="567"/>
        <w:jc w:val="both"/>
        <w:rPr>
          <w:rFonts w:eastAsia="Times New Roman" w:cs="Arial"/>
          <w:lang w:val="en-US"/>
        </w:rPr>
      </w:pPr>
      <w:r w:rsidRPr="00277B4E">
        <w:rPr>
          <w:rFonts w:eastAsia="Times New Roman" w:cs="Arial"/>
          <w:lang w:val="en-US"/>
        </w:rPr>
        <w:t xml:space="preserve">Scheme Advisory Board </w:t>
      </w:r>
      <w:r w:rsidR="007D47C1" w:rsidRPr="00277B4E">
        <w:rPr>
          <w:rFonts w:eastAsia="Times New Roman" w:cs="Arial"/>
          <w:lang w:val="en-US"/>
        </w:rPr>
        <w:t>(SAB)</w:t>
      </w:r>
    </w:p>
    <w:p w14:paraId="3AE4D913" w14:textId="77777777" w:rsidR="002865BF" w:rsidRPr="002865BF" w:rsidRDefault="002865BF" w:rsidP="002865BF">
      <w:pPr>
        <w:autoSpaceDE w:val="0"/>
        <w:autoSpaceDN w:val="0"/>
        <w:adjustRightInd w:val="0"/>
        <w:spacing w:after="0" w:line="240" w:lineRule="auto"/>
        <w:ind w:left="567" w:firstLine="0"/>
        <w:jc w:val="both"/>
        <w:rPr>
          <w:rFonts w:eastAsia="Times New Roman" w:cs="Arial"/>
          <w:noProof/>
          <w:color w:val="000000"/>
          <w:lang w:eastAsia="en-GB"/>
        </w:rPr>
      </w:pPr>
    </w:p>
    <w:p w14:paraId="3AE4D914" w14:textId="77777777" w:rsidR="002865BF" w:rsidRPr="002865BF" w:rsidRDefault="002865BF" w:rsidP="00D71B38">
      <w:pPr>
        <w:numPr>
          <w:ilvl w:val="0"/>
          <w:numId w:val="9"/>
        </w:numPr>
        <w:spacing w:after="0" w:line="240" w:lineRule="auto"/>
        <w:ind w:left="426" w:hanging="426"/>
        <w:jc w:val="both"/>
        <w:rPr>
          <w:rFonts w:eastAsia="Times New Roman" w:cs="Arial"/>
          <w:noProof/>
          <w:color w:val="000000"/>
          <w:lang w:eastAsia="en-GB"/>
        </w:rPr>
      </w:pPr>
      <w:r w:rsidRPr="002865BF">
        <w:rPr>
          <w:rFonts w:eastAsia="Times New Roman" w:cs="Arial"/>
          <w:noProof/>
          <w:color w:val="000000"/>
          <w:lang w:eastAsia="en-GB"/>
        </w:rPr>
        <w:t xml:space="preserve">The SAB </w:t>
      </w:r>
      <w:hyperlink r:id="rId10" w:history="1">
        <w:r w:rsidRPr="00BC160F">
          <w:rPr>
            <w:rFonts w:eastAsia="Times New Roman" w:cs="Arial"/>
            <w:noProof/>
            <w:color w:val="0000FF"/>
            <w:u w:val="single"/>
            <w:lang w:eastAsia="en-GB"/>
          </w:rPr>
          <w:t>benchmarking project</w:t>
        </w:r>
      </w:hyperlink>
      <w:r w:rsidRPr="002865BF">
        <w:rPr>
          <w:rFonts w:eastAsia="Times New Roman" w:cs="Arial"/>
          <w:noProof/>
          <w:color w:val="000000"/>
          <w:lang w:eastAsia="en-GB"/>
        </w:rPr>
        <w:t xml:space="preserve"> was launched in November and surv</w:t>
      </w:r>
      <w:r w:rsidR="007D47C1">
        <w:rPr>
          <w:rFonts w:eastAsia="Times New Roman" w:cs="Arial"/>
          <w:noProof/>
          <w:color w:val="000000"/>
          <w:lang w:eastAsia="en-GB"/>
        </w:rPr>
        <w:t>eys have been sent to all Fire and</w:t>
      </w:r>
      <w:r w:rsidRPr="002865BF">
        <w:rPr>
          <w:rFonts w:eastAsia="Times New Roman" w:cs="Arial"/>
          <w:noProof/>
          <w:color w:val="000000"/>
          <w:lang w:eastAsia="en-GB"/>
        </w:rPr>
        <w:t xml:space="preserve"> Rescue Authorities as employers.  This is an essential project for the SAB as it will enable the board to consider the future of administering the Firefighters’ Pension Scheme and whether there are cost savings that can be made. </w:t>
      </w:r>
    </w:p>
    <w:p w14:paraId="3AE4D915" w14:textId="77777777" w:rsidR="002865BF" w:rsidRPr="002865BF" w:rsidRDefault="002865BF" w:rsidP="002865BF">
      <w:pPr>
        <w:spacing w:after="0" w:line="240" w:lineRule="auto"/>
        <w:ind w:left="0" w:firstLine="0"/>
        <w:rPr>
          <w:rFonts w:eastAsia="Times New Roman" w:cs="Arial"/>
          <w:noProof/>
          <w:color w:val="000000"/>
          <w:lang w:eastAsia="en-GB"/>
        </w:rPr>
      </w:pPr>
    </w:p>
    <w:p w14:paraId="3AE4D916" w14:textId="77777777" w:rsidR="002865BF" w:rsidRPr="00277B4E" w:rsidRDefault="002865BF" w:rsidP="002865BF">
      <w:pPr>
        <w:spacing w:after="0" w:line="240" w:lineRule="auto"/>
        <w:ind w:left="0" w:firstLine="0"/>
        <w:jc w:val="both"/>
        <w:rPr>
          <w:rFonts w:eastAsia="Times New Roman" w:cs="Arial"/>
          <w:lang w:val="en-US"/>
        </w:rPr>
      </w:pPr>
      <w:r w:rsidRPr="00277B4E">
        <w:rPr>
          <w:rFonts w:eastAsia="Times New Roman" w:cs="Arial"/>
          <w:lang w:val="en-US"/>
        </w:rPr>
        <w:t>LGA Firefighter Pension Scheme Communications and Events</w:t>
      </w:r>
    </w:p>
    <w:p w14:paraId="3AE4D917" w14:textId="77777777" w:rsidR="002865BF" w:rsidRPr="002865BF" w:rsidRDefault="002865BF" w:rsidP="002865BF">
      <w:pPr>
        <w:spacing w:after="0" w:line="240" w:lineRule="auto"/>
        <w:ind w:left="0" w:firstLine="0"/>
        <w:rPr>
          <w:rFonts w:eastAsia="Times New Roman" w:cs="Arial"/>
          <w:noProof/>
          <w:color w:val="000000"/>
          <w:lang w:eastAsia="en-GB"/>
        </w:rPr>
      </w:pPr>
    </w:p>
    <w:p w14:paraId="3AE4D918" w14:textId="77777777" w:rsidR="002865BF" w:rsidRPr="002865BF" w:rsidRDefault="002865BF" w:rsidP="00D71B38">
      <w:pPr>
        <w:numPr>
          <w:ilvl w:val="0"/>
          <w:numId w:val="9"/>
        </w:numPr>
        <w:autoSpaceDE w:val="0"/>
        <w:autoSpaceDN w:val="0"/>
        <w:adjustRightInd w:val="0"/>
        <w:spacing w:after="0" w:line="240" w:lineRule="auto"/>
        <w:ind w:left="426" w:hanging="426"/>
        <w:jc w:val="both"/>
        <w:rPr>
          <w:rFonts w:eastAsia="Times New Roman" w:cs="Arial"/>
          <w:noProof/>
          <w:color w:val="000000"/>
          <w:lang w:eastAsia="en-GB"/>
        </w:rPr>
      </w:pPr>
      <w:r w:rsidRPr="002865BF">
        <w:rPr>
          <w:rFonts w:eastAsia="Times New Roman" w:cs="Arial"/>
          <w:noProof/>
          <w:color w:val="000000"/>
          <w:lang w:eastAsia="en-GB"/>
        </w:rPr>
        <w:t xml:space="preserve">Under the regulations the Fire Authority is defined as the scheme manager, and all responsibility for the scheme rests with the scheme manager.  The pensions team are now offering short, high level scheme manager training sessions to elected members on their duties as scheme manager. Any Fire Authority interested in receiving training should email </w:t>
      </w:r>
      <w:hyperlink r:id="rId11" w:history="1">
        <w:r w:rsidRPr="00BC160F">
          <w:rPr>
            <w:rFonts w:eastAsia="Times New Roman" w:cs="Arial"/>
            <w:noProof/>
            <w:color w:val="0000FF"/>
            <w:u w:val="single"/>
            <w:lang w:eastAsia="en-GB"/>
          </w:rPr>
          <w:t>clair.alcock@local.gov.uk</w:t>
        </w:r>
      </w:hyperlink>
      <w:r w:rsidRPr="002865BF">
        <w:rPr>
          <w:rFonts w:eastAsia="Times New Roman" w:cs="Arial"/>
          <w:noProof/>
          <w:color w:val="000000"/>
          <w:lang w:eastAsia="en-GB"/>
        </w:rPr>
        <w:t xml:space="preserve">. </w:t>
      </w:r>
    </w:p>
    <w:p w14:paraId="3AE4D919" w14:textId="77777777" w:rsidR="002865BF" w:rsidRPr="002865BF" w:rsidRDefault="002865BF" w:rsidP="002865BF">
      <w:pPr>
        <w:autoSpaceDE w:val="0"/>
        <w:autoSpaceDN w:val="0"/>
        <w:adjustRightInd w:val="0"/>
        <w:spacing w:after="0" w:line="240" w:lineRule="auto"/>
        <w:ind w:left="567" w:firstLine="0"/>
        <w:jc w:val="both"/>
        <w:rPr>
          <w:rFonts w:eastAsia="Times New Roman" w:cs="Arial"/>
          <w:noProof/>
          <w:color w:val="000000"/>
          <w:lang w:eastAsia="en-GB"/>
        </w:rPr>
      </w:pPr>
    </w:p>
    <w:p w14:paraId="3AE4D91A" w14:textId="77777777" w:rsidR="002865BF" w:rsidRPr="002865BF" w:rsidRDefault="002865BF" w:rsidP="00D71B38">
      <w:pPr>
        <w:numPr>
          <w:ilvl w:val="0"/>
          <w:numId w:val="9"/>
        </w:numPr>
        <w:autoSpaceDE w:val="0"/>
        <w:autoSpaceDN w:val="0"/>
        <w:adjustRightInd w:val="0"/>
        <w:spacing w:after="0" w:line="240" w:lineRule="auto"/>
        <w:ind w:left="426" w:hanging="426"/>
        <w:jc w:val="both"/>
        <w:rPr>
          <w:rFonts w:eastAsia="Times New Roman" w:cs="Arial"/>
          <w:noProof/>
          <w:color w:val="000000"/>
          <w:lang w:eastAsia="en-GB"/>
        </w:rPr>
      </w:pPr>
      <w:r w:rsidRPr="002865BF">
        <w:rPr>
          <w:rFonts w:eastAsia="Times New Roman" w:cs="Arial"/>
          <w:noProof/>
          <w:color w:val="000000"/>
          <w:lang w:eastAsia="en-GB"/>
        </w:rPr>
        <w:t xml:space="preserve">The package of support provided by LGA to Fire </w:t>
      </w:r>
      <w:r w:rsidR="007D47C1">
        <w:rPr>
          <w:rFonts w:eastAsia="Times New Roman" w:cs="Arial"/>
          <w:noProof/>
          <w:color w:val="000000"/>
          <w:lang w:eastAsia="en-GB"/>
        </w:rPr>
        <w:t>and</w:t>
      </w:r>
      <w:r w:rsidRPr="002865BF">
        <w:rPr>
          <w:rFonts w:eastAsia="Times New Roman" w:cs="Arial"/>
          <w:noProof/>
          <w:color w:val="000000"/>
          <w:lang w:eastAsia="en-GB"/>
        </w:rPr>
        <w:t xml:space="preserve"> Rescue Authorities</w:t>
      </w:r>
      <w:r w:rsidR="007D47C1">
        <w:rPr>
          <w:rFonts w:eastAsia="Times New Roman" w:cs="Arial"/>
          <w:noProof/>
          <w:color w:val="000000"/>
          <w:lang w:eastAsia="en-GB"/>
        </w:rPr>
        <w:t xml:space="preserve"> (FRAs)</w:t>
      </w:r>
      <w:r w:rsidRPr="002865BF">
        <w:rPr>
          <w:rFonts w:eastAsia="Times New Roman" w:cs="Arial"/>
          <w:noProof/>
          <w:color w:val="000000"/>
          <w:lang w:eastAsia="en-GB"/>
        </w:rPr>
        <w:t xml:space="preserve"> to support the understanding and management of pension responsibilities during 2018 has provided the following;</w:t>
      </w:r>
    </w:p>
    <w:p w14:paraId="3AE4D91B" w14:textId="77777777" w:rsidR="002865BF" w:rsidRPr="002865BF" w:rsidRDefault="002865BF" w:rsidP="002865BF">
      <w:pPr>
        <w:spacing w:after="0" w:line="240" w:lineRule="auto"/>
        <w:ind w:left="720" w:firstLine="0"/>
        <w:rPr>
          <w:rFonts w:eastAsia="Times New Roman" w:cs="Arial"/>
          <w:noProof/>
          <w:color w:val="000000"/>
          <w:lang w:eastAsia="en-GB"/>
        </w:rPr>
      </w:pPr>
    </w:p>
    <w:tbl>
      <w:tblPr>
        <w:tblStyle w:val="TableGrid1"/>
        <w:tblW w:w="0" w:type="auto"/>
        <w:tblInd w:w="562" w:type="dxa"/>
        <w:tblLook w:val="04A0" w:firstRow="1" w:lastRow="0" w:firstColumn="1" w:lastColumn="0" w:noHBand="0" w:noVBand="1"/>
      </w:tblPr>
      <w:tblGrid>
        <w:gridCol w:w="4223"/>
        <w:gridCol w:w="4231"/>
      </w:tblGrid>
      <w:tr w:rsidR="002865BF" w:rsidRPr="002865BF" w14:paraId="3AE4D91E" w14:textId="77777777" w:rsidTr="0037412D">
        <w:tc>
          <w:tcPr>
            <w:tcW w:w="4223" w:type="dxa"/>
          </w:tcPr>
          <w:p w14:paraId="3AE4D91C"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14 Local Pension Board training / meetings</w:t>
            </w:r>
          </w:p>
        </w:tc>
        <w:tc>
          <w:tcPr>
            <w:tcW w:w="4231" w:type="dxa"/>
          </w:tcPr>
          <w:p w14:paraId="3AE4D91D"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Administrator training</w:t>
            </w:r>
          </w:p>
        </w:tc>
      </w:tr>
      <w:tr w:rsidR="002865BF" w:rsidRPr="002865BF" w14:paraId="3AE4D921" w14:textId="77777777" w:rsidTr="0037412D">
        <w:tc>
          <w:tcPr>
            <w:tcW w:w="4223" w:type="dxa"/>
          </w:tcPr>
          <w:p w14:paraId="3AE4D91F"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Scheme Manager Training</w:t>
            </w:r>
          </w:p>
        </w:tc>
        <w:tc>
          <w:tcPr>
            <w:tcW w:w="4231" w:type="dxa"/>
          </w:tcPr>
          <w:p w14:paraId="3AE4D920"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Software provider training</w:t>
            </w:r>
          </w:p>
        </w:tc>
      </w:tr>
      <w:tr w:rsidR="002865BF" w:rsidRPr="002865BF" w14:paraId="3AE4D924" w14:textId="77777777" w:rsidTr="0037412D">
        <w:tc>
          <w:tcPr>
            <w:tcW w:w="4223" w:type="dxa"/>
          </w:tcPr>
          <w:p w14:paraId="3AE4D922"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4 SAB and 8 SAB committee meetings</w:t>
            </w:r>
          </w:p>
        </w:tc>
        <w:tc>
          <w:tcPr>
            <w:tcW w:w="4231" w:type="dxa"/>
          </w:tcPr>
          <w:p w14:paraId="3AE4D923"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3 technical group meetings</w:t>
            </w:r>
          </w:p>
        </w:tc>
      </w:tr>
      <w:tr w:rsidR="002865BF" w:rsidRPr="002865BF" w14:paraId="3AE4D927" w14:textId="77777777" w:rsidTr="0037412D">
        <w:tc>
          <w:tcPr>
            <w:tcW w:w="4223" w:type="dxa"/>
          </w:tcPr>
          <w:p w14:paraId="3AE4D925"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3 Communication group meetings</w:t>
            </w:r>
          </w:p>
        </w:tc>
        <w:tc>
          <w:tcPr>
            <w:tcW w:w="4231" w:type="dxa"/>
          </w:tcPr>
          <w:p w14:paraId="3AE4D926"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15 regional meetings</w:t>
            </w:r>
          </w:p>
        </w:tc>
      </w:tr>
      <w:tr w:rsidR="002865BF" w:rsidRPr="002865BF" w14:paraId="3AE4D92A" w14:textId="77777777" w:rsidTr="0037412D">
        <w:tc>
          <w:tcPr>
            <w:tcW w:w="4223" w:type="dxa"/>
          </w:tcPr>
          <w:p w14:paraId="3AE4D928"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Two Day Annual Conference</w:t>
            </w:r>
          </w:p>
        </w:tc>
        <w:tc>
          <w:tcPr>
            <w:tcW w:w="4231" w:type="dxa"/>
          </w:tcPr>
          <w:p w14:paraId="3AE4D929"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2 subject specific workshops</w:t>
            </w:r>
          </w:p>
        </w:tc>
      </w:tr>
      <w:tr w:rsidR="002865BF" w:rsidRPr="002865BF" w14:paraId="3AE4D92D" w14:textId="77777777" w:rsidTr="0037412D">
        <w:tc>
          <w:tcPr>
            <w:tcW w:w="4223" w:type="dxa"/>
          </w:tcPr>
          <w:p w14:paraId="3AE4D92B"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Ten sector wide events</w:t>
            </w:r>
          </w:p>
        </w:tc>
        <w:tc>
          <w:tcPr>
            <w:tcW w:w="4231" w:type="dxa"/>
          </w:tcPr>
          <w:p w14:paraId="3AE4D92C" w14:textId="77777777" w:rsidR="002865BF" w:rsidRPr="002865BF" w:rsidRDefault="002865BF" w:rsidP="002865BF">
            <w:pPr>
              <w:autoSpaceDE w:val="0"/>
              <w:autoSpaceDN w:val="0"/>
              <w:adjustRightInd w:val="0"/>
              <w:spacing w:line="240" w:lineRule="auto"/>
              <w:ind w:left="0" w:firstLine="0"/>
              <w:jc w:val="both"/>
              <w:rPr>
                <w:rFonts w:eastAsia="Times New Roman" w:cs="Arial"/>
                <w:noProof/>
                <w:color w:val="000000"/>
                <w:sz w:val="22"/>
                <w:szCs w:val="22"/>
                <w:lang w:eastAsia="en-GB"/>
              </w:rPr>
            </w:pPr>
            <w:r w:rsidRPr="002865BF">
              <w:rPr>
                <w:rFonts w:eastAsia="Times New Roman" w:cs="Arial"/>
                <w:noProof/>
                <w:color w:val="000000"/>
                <w:sz w:val="22"/>
                <w:szCs w:val="22"/>
                <w:lang w:eastAsia="en-GB"/>
              </w:rPr>
              <w:t>Joint Governance conference</w:t>
            </w:r>
          </w:p>
        </w:tc>
      </w:tr>
    </w:tbl>
    <w:p w14:paraId="3AE4D92E" w14:textId="77777777" w:rsidR="002865BF" w:rsidRPr="002865BF" w:rsidRDefault="002865BF" w:rsidP="002865BF">
      <w:pPr>
        <w:autoSpaceDE w:val="0"/>
        <w:autoSpaceDN w:val="0"/>
        <w:adjustRightInd w:val="0"/>
        <w:spacing w:after="0" w:line="240" w:lineRule="auto"/>
        <w:ind w:left="567" w:firstLine="0"/>
        <w:jc w:val="both"/>
        <w:rPr>
          <w:rFonts w:eastAsia="Times New Roman" w:cs="Arial"/>
          <w:noProof/>
          <w:color w:val="000000"/>
          <w:sz w:val="23"/>
          <w:szCs w:val="23"/>
          <w:lang w:eastAsia="en-GB"/>
        </w:rPr>
      </w:pPr>
    </w:p>
    <w:p w14:paraId="3AE4D92F" w14:textId="77777777" w:rsidR="007945F7" w:rsidRDefault="00277B4E" w:rsidP="007945F7">
      <w:pPr>
        <w:ind w:left="0" w:firstLine="0"/>
        <w:rPr>
          <w:rStyle w:val="ReportTemplate"/>
          <w:b/>
          <w:noProof/>
          <w:lang w:eastAsia="en-GB"/>
        </w:rPr>
      </w:pPr>
      <w:r>
        <w:rPr>
          <w:rStyle w:val="ReportTemplate"/>
          <w:b/>
          <w:noProof/>
          <w:lang w:eastAsia="en-GB"/>
        </w:rPr>
        <w:t>Key Wider Workforce Issues</w:t>
      </w:r>
    </w:p>
    <w:p w14:paraId="3AE4D930" w14:textId="77777777" w:rsidR="007945F7" w:rsidRPr="00277B4E" w:rsidRDefault="007945F7" w:rsidP="007945F7">
      <w:pPr>
        <w:ind w:left="0" w:firstLine="0"/>
        <w:rPr>
          <w:rStyle w:val="ReportTemplate"/>
          <w:noProof/>
          <w:lang w:eastAsia="en-GB"/>
        </w:rPr>
      </w:pPr>
      <w:r w:rsidRPr="00277B4E">
        <w:rPr>
          <w:rStyle w:val="ReportTemplate"/>
          <w:noProof/>
          <w:lang w:eastAsia="en-GB"/>
        </w:rPr>
        <w:lastRenderedPageBreak/>
        <w:t>Broadening the role of the firefighter / Pay</w:t>
      </w:r>
    </w:p>
    <w:p w14:paraId="3AE4D931" w14:textId="77777777" w:rsidR="007945F7" w:rsidRDefault="007945F7" w:rsidP="00D71B38">
      <w:pPr>
        <w:pStyle w:val="ListParagraph"/>
        <w:numPr>
          <w:ilvl w:val="0"/>
          <w:numId w:val="9"/>
        </w:numPr>
        <w:ind w:left="426" w:hanging="426"/>
        <w:jc w:val="both"/>
        <w:rPr>
          <w:lang w:eastAsia="en-GB"/>
        </w:rPr>
      </w:pPr>
      <w:r w:rsidRPr="003A78A8">
        <w:rPr>
          <w:lang w:eastAsia="en-GB"/>
        </w:rPr>
        <w:t>The term ‘broadening the role’ refers to a N</w:t>
      </w:r>
      <w:r w:rsidR="007D47C1">
        <w:rPr>
          <w:lang w:eastAsia="en-GB"/>
        </w:rPr>
        <w:t xml:space="preserve">ational </w:t>
      </w:r>
      <w:r w:rsidRPr="003A78A8">
        <w:rPr>
          <w:lang w:eastAsia="en-GB"/>
        </w:rPr>
        <w:t>J</w:t>
      </w:r>
      <w:r w:rsidR="007D47C1">
        <w:rPr>
          <w:lang w:eastAsia="en-GB"/>
        </w:rPr>
        <w:t xml:space="preserve">oint </w:t>
      </w:r>
      <w:r w:rsidRPr="003A78A8">
        <w:rPr>
          <w:lang w:eastAsia="en-GB"/>
        </w:rPr>
        <w:t>C</w:t>
      </w:r>
      <w:r w:rsidR="007D47C1">
        <w:rPr>
          <w:lang w:eastAsia="en-GB"/>
        </w:rPr>
        <w:t>ouncil</w:t>
      </w:r>
      <w:r w:rsidRPr="003A78A8">
        <w:rPr>
          <w:lang w:eastAsia="en-GB"/>
        </w:rPr>
        <w:t xml:space="preserve">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health and community, inspection and enforcement and multi-agency emergency response (which includes M</w:t>
      </w:r>
      <w:r w:rsidR="007D47C1">
        <w:rPr>
          <w:lang w:eastAsia="en-GB"/>
        </w:rPr>
        <w:t xml:space="preserve">arauding </w:t>
      </w:r>
      <w:r w:rsidRPr="003A78A8">
        <w:rPr>
          <w:lang w:eastAsia="en-GB"/>
        </w:rPr>
        <w:t>T</w:t>
      </w:r>
      <w:r w:rsidR="007D47C1">
        <w:rPr>
          <w:lang w:eastAsia="en-GB"/>
        </w:rPr>
        <w:t xml:space="preserve">errorist </w:t>
      </w:r>
      <w:r w:rsidRPr="003A78A8">
        <w:rPr>
          <w:lang w:eastAsia="en-GB"/>
        </w:rPr>
        <w:t>F</w:t>
      </w:r>
      <w:r w:rsidR="007D47C1">
        <w:rPr>
          <w:lang w:eastAsia="en-GB"/>
        </w:rPr>
        <w:t xml:space="preserve">irearms </w:t>
      </w:r>
      <w:r w:rsidRPr="003A78A8">
        <w:rPr>
          <w:lang w:eastAsia="en-GB"/>
        </w:rPr>
        <w:t>A</w:t>
      </w:r>
      <w:r w:rsidR="007D47C1">
        <w:rPr>
          <w:lang w:eastAsia="en-GB"/>
        </w:rPr>
        <w:t>ttacks</w:t>
      </w:r>
      <w:r w:rsidRPr="003A78A8">
        <w:rPr>
          <w:lang w:eastAsia="en-GB"/>
        </w:rPr>
        <w:t>).</w:t>
      </w:r>
    </w:p>
    <w:p w14:paraId="3AE4D932" w14:textId="77777777" w:rsidR="007945F7" w:rsidRPr="003A78A8" w:rsidRDefault="007945F7" w:rsidP="00815E74">
      <w:pPr>
        <w:pStyle w:val="ListParagraph"/>
        <w:numPr>
          <w:ilvl w:val="0"/>
          <w:numId w:val="0"/>
        </w:numPr>
        <w:ind w:left="567" w:hanging="567"/>
        <w:jc w:val="both"/>
        <w:rPr>
          <w:lang w:eastAsia="en-GB"/>
        </w:rPr>
      </w:pPr>
    </w:p>
    <w:p w14:paraId="3AE4D933" w14:textId="77777777" w:rsidR="00BC160F" w:rsidRPr="007945F7" w:rsidRDefault="00BC160F" w:rsidP="00D71B38">
      <w:pPr>
        <w:pStyle w:val="ListParagraph"/>
        <w:numPr>
          <w:ilvl w:val="0"/>
          <w:numId w:val="9"/>
        </w:numPr>
        <w:ind w:left="426" w:hanging="426"/>
        <w:jc w:val="both"/>
        <w:rPr>
          <w:lang w:eastAsia="en-GB"/>
        </w:rPr>
      </w:pPr>
      <w:r>
        <w:rPr>
          <w:lang w:eastAsia="en-GB"/>
        </w:rPr>
        <w:t xml:space="preserve">Frequent meetings are taking place during January and as such an oral report will be provided at the meeting. </w:t>
      </w:r>
    </w:p>
    <w:p w14:paraId="3AE4D934" w14:textId="77777777" w:rsidR="007945F7" w:rsidRPr="00277B4E" w:rsidRDefault="00BC160F" w:rsidP="00815E74">
      <w:pPr>
        <w:ind w:left="567" w:hanging="567"/>
        <w:jc w:val="both"/>
        <w:rPr>
          <w:rStyle w:val="ReportTemplate"/>
          <w:lang w:eastAsia="en-GB"/>
        </w:rPr>
      </w:pPr>
      <w:r w:rsidRPr="00277B4E">
        <w:rPr>
          <w:lang w:eastAsia="en-GB"/>
        </w:rPr>
        <w:t>C</w:t>
      </w:r>
      <w:r w:rsidR="007945F7" w:rsidRPr="00277B4E">
        <w:rPr>
          <w:lang w:eastAsia="en-GB"/>
        </w:rPr>
        <w:t xml:space="preserve">ourt Of Justice of the European Union - Ville De </w:t>
      </w:r>
      <w:proofErr w:type="spellStart"/>
      <w:r w:rsidR="007945F7" w:rsidRPr="00277B4E">
        <w:rPr>
          <w:lang w:eastAsia="en-GB"/>
        </w:rPr>
        <w:t>Nivelles</w:t>
      </w:r>
      <w:proofErr w:type="spellEnd"/>
      <w:r w:rsidR="007945F7" w:rsidRPr="00277B4E">
        <w:rPr>
          <w:lang w:eastAsia="en-GB"/>
        </w:rPr>
        <w:t xml:space="preserve"> V Rudy </w:t>
      </w:r>
      <w:proofErr w:type="spellStart"/>
      <w:r w:rsidR="007945F7" w:rsidRPr="00277B4E">
        <w:rPr>
          <w:lang w:eastAsia="en-GB"/>
        </w:rPr>
        <w:t>Matzak</w:t>
      </w:r>
      <w:proofErr w:type="spellEnd"/>
    </w:p>
    <w:p w14:paraId="3AE4D935" w14:textId="77777777" w:rsidR="007945F7" w:rsidRPr="003A78A8" w:rsidRDefault="00BC160F" w:rsidP="00D71B38">
      <w:pPr>
        <w:pStyle w:val="ListParagraph"/>
        <w:numPr>
          <w:ilvl w:val="0"/>
          <w:numId w:val="9"/>
        </w:numPr>
        <w:ind w:left="426" w:hanging="426"/>
        <w:jc w:val="both"/>
        <w:rPr>
          <w:lang w:eastAsia="en-GB"/>
        </w:rPr>
      </w:pPr>
      <w:r>
        <w:rPr>
          <w:lang w:eastAsia="en-GB"/>
        </w:rPr>
        <w:t xml:space="preserve">This </w:t>
      </w:r>
      <w:r w:rsidR="007945F7" w:rsidRPr="003A78A8">
        <w:rPr>
          <w:lang w:eastAsia="en-GB"/>
        </w:rPr>
        <w:t xml:space="preserve">case concerned a ‘volunteer’ firefighter in Belgium. However its </w:t>
      </w:r>
      <w:r w:rsidR="00954CCD">
        <w:rPr>
          <w:lang w:eastAsia="en-GB"/>
        </w:rPr>
        <w:t xml:space="preserve">relevance </w:t>
      </w:r>
      <w:r w:rsidR="007945F7" w:rsidRPr="003A78A8">
        <w:rPr>
          <w:lang w:eastAsia="en-GB"/>
        </w:rPr>
        <w:t xml:space="preserve">will be felt more widely, including in the UK.  In essence it has determined that stand-by time of a worker at home who is obliged to respond to calls from the employer within a short period must be regarded as ‘working time’. </w:t>
      </w:r>
    </w:p>
    <w:p w14:paraId="3AE4D936" w14:textId="77777777" w:rsidR="007945F7" w:rsidRDefault="007945F7" w:rsidP="00815E74">
      <w:pPr>
        <w:pStyle w:val="ListParagraph"/>
        <w:numPr>
          <w:ilvl w:val="0"/>
          <w:numId w:val="0"/>
        </w:numPr>
        <w:ind w:left="567" w:hanging="567"/>
        <w:jc w:val="both"/>
        <w:rPr>
          <w:rStyle w:val="ReportTemplate"/>
          <w:noProof/>
          <w:lang w:eastAsia="en-GB"/>
        </w:rPr>
      </w:pPr>
      <w:r>
        <w:rPr>
          <w:rStyle w:val="ReportTemplate"/>
          <w:noProof/>
          <w:lang w:eastAsia="en-GB"/>
        </w:rPr>
        <w:t xml:space="preserve"> </w:t>
      </w:r>
    </w:p>
    <w:p w14:paraId="3AE4D937" w14:textId="77777777" w:rsidR="007945F7" w:rsidRPr="003A78A8" w:rsidRDefault="007945F7" w:rsidP="00D71B38">
      <w:pPr>
        <w:pStyle w:val="ListParagraph"/>
        <w:numPr>
          <w:ilvl w:val="0"/>
          <w:numId w:val="9"/>
        </w:numPr>
        <w:ind w:left="426" w:hanging="426"/>
        <w:jc w:val="both"/>
        <w:rPr>
          <w:lang w:eastAsia="en-GB"/>
        </w:rPr>
      </w:pPr>
      <w:r w:rsidRPr="003A78A8">
        <w:rPr>
          <w:lang w:eastAsia="en-GB"/>
        </w:rPr>
        <w:t>Through the auspices of the National Employers we have been working with a Q</w:t>
      </w:r>
      <w:r w:rsidR="007D47C1">
        <w:rPr>
          <w:lang w:eastAsia="en-GB"/>
        </w:rPr>
        <w:t xml:space="preserve">ueen’s </w:t>
      </w:r>
      <w:r w:rsidRPr="003A78A8">
        <w:rPr>
          <w:lang w:eastAsia="en-GB"/>
        </w:rPr>
        <w:t>C</w:t>
      </w:r>
      <w:r w:rsidR="007D47C1">
        <w:rPr>
          <w:lang w:eastAsia="en-GB"/>
        </w:rPr>
        <w:t>ounsel</w:t>
      </w:r>
      <w:r w:rsidRPr="003A78A8">
        <w:rPr>
          <w:lang w:eastAsia="en-GB"/>
        </w:rPr>
        <w:t xml:space="preserve"> to inform guidance to FRAs on the judgment. </w:t>
      </w:r>
    </w:p>
    <w:p w14:paraId="3AE4D938" w14:textId="77777777" w:rsidR="007945F7" w:rsidRDefault="007945F7" w:rsidP="00815E74">
      <w:pPr>
        <w:pStyle w:val="ListParagraph"/>
        <w:numPr>
          <w:ilvl w:val="0"/>
          <w:numId w:val="0"/>
        </w:numPr>
        <w:ind w:left="567" w:hanging="567"/>
        <w:jc w:val="both"/>
        <w:rPr>
          <w:rStyle w:val="ReportTemplate"/>
          <w:noProof/>
          <w:lang w:eastAsia="en-GB"/>
        </w:rPr>
      </w:pPr>
      <w:r>
        <w:rPr>
          <w:rStyle w:val="ReportTemplate"/>
          <w:noProof/>
          <w:lang w:eastAsia="en-GB"/>
        </w:rPr>
        <w:t xml:space="preserve"> </w:t>
      </w:r>
    </w:p>
    <w:p w14:paraId="3AE4D939" w14:textId="77777777" w:rsidR="007945F7" w:rsidRPr="007945F7" w:rsidRDefault="007945F7" w:rsidP="00D71B38">
      <w:pPr>
        <w:pStyle w:val="ListParagraph"/>
        <w:numPr>
          <w:ilvl w:val="0"/>
          <w:numId w:val="9"/>
        </w:numPr>
        <w:ind w:left="426" w:hanging="426"/>
        <w:jc w:val="both"/>
        <w:rPr>
          <w:noProof/>
          <w:lang w:eastAsia="en-GB"/>
        </w:rPr>
      </w:pPr>
      <w:r w:rsidRPr="003A78A8">
        <w:rPr>
          <w:rFonts w:cs="Arial"/>
          <w:sz w:val="23"/>
          <w:szCs w:val="23"/>
          <w:lang w:eastAsia="en-GB"/>
        </w:rPr>
        <w:t>We put in place a sounding board with a mix of HR and legal advisers from each of the UK administrations as well as one of the LGA’s senior employment law advisers to be sure the questions asked and information provided to the QC would be appropriate</w:t>
      </w:r>
      <w:r w:rsidR="00954CCD">
        <w:rPr>
          <w:rFonts w:cs="Arial"/>
          <w:sz w:val="23"/>
          <w:szCs w:val="23"/>
          <w:lang w:eastAsia="en-GB"/>
        </w:rPr>
        <w:t>.</w:t>
      </w:r>
      <w:r>
        <w:rPr>
          <w:rFonts w:cs="Arial"/>
          <w:sz w:val="23"/>
          <w:szCs w:val="23"/>
          <w:lang w:eastAsia="en-GB"/>
        </w:rPr>
        <w:t xml:space="preserve"> </w:t>
      </w:r>
    </w:p>
    <w:p w14:paraId="3AE4D93A" w14:textId="77777777" w:rsidR="007945F7" w:rsidRPr="007945F7" w:rsidRDefault="007945F7" w:rsidP="00815E74">
      <w:pPr>
        <w:pStyle w:val="ListParagraph"/>
        <w:numPr>
          <w:ilvl w:val="0"/>
          <w:numId w:val="0"/>
        </w:numPr>
        <w:ind w:left="567" w:hanging="567"/>
        <w:jc w:val="both"/>
        <w:rPr>
          <w:noProof/>
          <w:lang w:eastAsia="en-GB"/>
        </w:rPr>
      </w:pPr>
      <w:r>
        <w:rPr>
          <w:rFonts w:cs="Arial"/>
          <w:sz w:val="23"/>
          <w:szCs w:val="23"/>
          <w:lang w:eastAsia="en-GB"/>
        </w:rPr>
        <w:t xml:space="preserve"> </w:t>
      </w:r>
    </w:p>
    <w:p w14:paraId="3AE4D93B" w14:textId="77777777" w:rsidR="007945F7" w:rsidRPr="003A78A8" w:rsidRDefault="007945F7" w:rsidP="00D71B38">
      <w:pPr>
        <w:pStyle w:val="ListParagraph"/>
        <w:numPr>
          <w:ilvl w:val="0"/>
          <w:numId w:val="9"/>
        </w:numPr>
        <w:ind w:left="426" w:hanging="567"/>
        <w:jc w:val="both"/>
        <w:rPr>
          <w:lang w:eastAsia="en-GB"/>
        </w:rPr>
      </w:pPr>
      <w:r w:rsidRPr="003A78A8">
        <w:rPr>
          <w:lang w:eastAsia="en-GB"/>
        </w:rPr>
        <w:t xml:space="preserve">The Sounding Board has met with the QC to further explore the picture of how the retained duty system works in the UK. We also put in place a meeting to provide demonstrations of the three main </w:t>
      </w:r>
      <w:r w:rsidR="00954CCD">
        <w:rPr>
          <w:lang w:eastAsia="en-GB"/>
        </w:rPr>
        <w:t xml:space="preserve">online </w:t>
      </w:r>
      <w:r w:rsidRPr="003A78A8">
        <w:rPr>
          <w:lang w:eastAsia="en-GB"/>
        </w:rPr>
        <w:t xml:space="preserve">availability management systems used by FRSs. </w:t>
      </w:r>
    </w:p>
    <w:p w14:paraId="3AE4D93C" w14:textId="77777777" w:rsidR="007945F7" w:rsidRDefault="007945F7" w:rsidP="00815E74">
      <w:pPr>
        <w:pStyle w:val="ListParagraph"/>
        <w:numPr>
          <w:ilvl w:val="0"/>
          <w:numId w:val="0"/>
        </w:numPr>
        <w:ind w:left="567" w:hanging="567"/>
        <w:jc w:val="both"/>
        <w:rPr>
          <w:rStyle w:val="ReportTemplate"/>
          <w:noProof/>
          <w:lang w:eastAsia="en-GB"/>
        </w:rPr>
      </w:pPr>
      <w:r>
        <w:rPr>
          <w:rStyle w:val="ReportTemplate"/>
          <w:noProof/>
          <w:lang w:eastAsia="en-GB"/>
        </w:rPr>
        <w:t xml:space="preserve"> </w:t>
      </w:r>
    </w:p>
    <w:p w14:paraId="3AE4D93D" w14:textId="77777777" w:rsidR="007945F7" w:rsidRPr="003A78A8" w:rsidRDefault="00BC160F" w:rsidP="00D71B38">
      <w:pPr>
        <w:pStyle w:val="ListParagraph"/>
        <w:numPr>
          <w:ilvl w:val="0"/>
          <w:numId w:val="9"/>
        </w:numPr>
        <w:ind w:left="426" w:hanging="426"/>
        <w:jc w:val="both"/>
        <w:rPr>
          <w:lang w:eastAsia="en-GB"/>
        </w:rPr>
      </w:pPr>
      <w:r>
        <w:rPr>
          <w:lang w:eastAsia="en-GB"/>
        </w:rPr>
        <w:t xml:space="preserve">The Sounding Board meets again this month and we expect to issue guidance to FRAs shortly. </w:t>
      </w:r>
      <w:r w:rsidR="007945F7" w:rsidRPr="003A78A8">
        <w:rPr>
          <w:lang w:eastAsia="en-GB"/>
        </w:rPr>
        <w:t xml:space="preserve"> </w:t>
      </w:r>
    </w:p>
    <w:p w14:paraId="3AE4D93E" w14:textId="77777777" w:rsidR="007945F7" w:rsidRPr="00277B4E" w:rsidRDefault="007945F7" w:rsidP="00E55474">
      <w:pPr>
        <w:ind w:left="0" w:firstLine="0"/>
        <w:rPr>
          <w:rStyle w:val="ReportTemplate"/>
          <w:noProof/>
          <w:lang w:eastAsia="en-GB"/>
        </w:rPr>
      </w:pPr>
      <w:r w:rsidRPr="00277B4E">
        <w:rPr>
          <w:rStyle w:val="ReportTemplate"/>
          <w:noProof/>
          <w:lang w:eastAsia="en-GB"/>
        </w:rPr>
        <w:t xml:space="preserve">Court of Appeal – Pension Scheme Transitional Protection Arrangements </w:t>
      </w:r>
      <w:r w:rsidR="00954CCD" w:rsidRPr="00277B4E">
        <w:rPr>
          <w:rStyle w:val="ReportTemplate"/>
          <w:noProof/>
          <w:lang w:eastAsia="en-GB"/>
        </w:rPr>
        <w:t>Discrimination Claims</w:t>
      </w:r>
    </w:p>
    <w:p w14:paraId="3AE4D93F" w14:textId="77777777" w:rsidR="007945F7" w:rsidRPr="003A78A8" w:rsidRDefault="007945F7" w:rsidP="00D71B38">
      <w:pPr>
        <w:pStyle w:val="ListParagraph"/>
        <w:numPr>
          <w:ilvl w:val="0"/>
          <w:numId w:val="9"/>
        </w:numPr>
        <w:ind w:left="426" w:hanging="426"/>
        <w:jc w:val="both"/>
        <w:rPr>
          <w:lang w:eastAsia="en-GB"/>
        </w:rPr>
      </w:pPr>
      <w:r w:rsidRPr="003A78A8">
        <w:rPr>
          <w:lang w:eastAsia="en-GB"/>
        </w:rPr>
        <w:t xml:space="preserve">Members will recall that the Employment Tribunal </w:t>
      </w:r>
      <w:r w:rsidR="007D47C1">
        <w:rPr>
          <w:lang w:eastAsia="en-GB"/>
        </w:rPr>
        <w:t xml:space="preserve">(ET) </w:t>
      </w:r>
      <w:r w:rsidRPr="003A78A8">
        <w:rPr>
          <w:lang w:eastAsia="en-GB"/>
        </w:rPr>
        <w:t>found in favour of fire authorities. The F</w:t>
      </w:r>
      <w:r w:rsidR="007D47C1">
        <w:rPr>
          <w:lang w:eastAsia="en-GB"/>
        </w:rPr>
        <w:t xml:space="preserve">ire </w:t>
      </w:r>
      <w:r w:rsidRPr="003A78A8">
        <w:rPr>
          <w:lang w:eastAsia="en-GB"/>
        </w:rPr>
        <w:t>B</w:t>
      </w:r>
      <w:r w:rsidR="007D47C1">
        <w:rPr>
          <w:lang w:eastAsia="en-GB"/>
        </w:rPr>
        <w:t xml:space="preserve">rigades </w:t>
      </w:r>
      <w:r w:rsidRPr="003A78A8">
        <w:rPr>
          <w:lang w:eastAsia="en-GB"/>
        </w:rPr>
        <w:t>U</w:t>
      </w:r>
      <w:r w:rsidR="007D47C1">
        <w:rPr>
          <w:lang w:eastAsia="en-GB"/>
        </w:rPr>
        <w:t>nion (FBU)</w:t>
      </w:r>
      <w:r w:rsidRPr="003A78A8">
        <w:rPr>
          <w:lang w:eastAsia="en-GB"/>
        </w:rPr>
        <w:t xml:space="preserve">, who act on behalf of the claimants, lodged an appeal. The Employment Appeal Tribunal </w:t>
      </w:r>
      <w:r w:rsidR="007D47C1">
        <w:rPr>
          <w:lang w:eastAsia="en-GB"/>
        </w:rPr>
        <w:t xml:space="preserve">(EAT) </w:t>
      </w:r>
      <w:r w:rsidRPr="003A78A8">
        <w:rPr>
          <w:lang w:eastAsia="en-GB"/>
        </w:rPr>
        <w:t xml:space="preserve">decided to join the appeal with that in the McCloud case relating to judges (which found in favour of the judges).   </w:t>
      </w:r>
    </w:p>
    <w:p w14:paraId="3AE4D940" w14:textId="77777777" w:rsidR="007945F7" w:rsidRDefault="007945F7" w:rsidP="00815E74">
      <w:pPr>
        <w:pStyle w:val="ListParagraph"/>
        <w:numPr>
          <w:ilvl w:val="0"/>
          <w:numId w:val="0"/>
        </w:numPr>
        <w:ind w:left="567" w:hanging="567"/>
        <w:jc w:val="both"/>
        <w:rPr>
          <w:rStyle w:val="ReportTemplate"/>
          <w:noProof/>
          <w:lang w:eastAsia="en-GB"/>
        </w:rPr>
      </w:pPr>
      <w:r>
        <w:rPr>
          <w:rStyle w:val="ReportTemplate"/>
          <w:noProof/>
          <w:lang w:eastAsia="en-GB"/>
        </w:rPr>
        <w:t xml:space="preserve"> </w:t>
      </w:r>
    </w:p>
    <w:p w14:paraId="3AE4D941" w14:textId="77777777" w:rsidR="007945F7" w:rsidRPr="003A78A8" w:rsidRDefault="007945F7" w:rsidP="00D71B38">
      <w:pPr>
        <w:pStyle w:val="ListParagraph"/>
        <w:numPr>
          <w:ilvl w:val="0"/>
          <w:numId w:val="9"/>
        </w:numPr>
        <w:ind w:left="426" w:hanging="426"/>
        <w:jc w:val="both"/>
        <w:rPr>
          <w:lang w:eastAsia="en-GB"/>
        </w:rPr>
      </w:pPr>
      <w:r w:rsidRPr="003A78A8">
        <w:rPr>
          <w:lang w:eastAsia="en-GB"/>
        </w:rPr>
        <w:t xml:space="preserve">The EAT allowed the firefighters' appeals in certain respects. However, the EAT </w:t>
      </w:r>
      <w:r w:rsidR="00815E74">
        <w:rPr>
          <w:lang w:eastAsia="en-GB"/>
        </w:rPr>
        <w:t>did</w:t>
      </w:r>
      <w:r w:rsidRPr="003A78A8">
        <w:rPr>
          <w:lang w:eastAsia="en-GB"/>
        </w:rPr>
        <w:t xml:space="preserve"> n</w:t>
      </w:r>
      <w:r w:rsidR="00815E74">
        <w:rPr>
          <w:lang w:eastAsia="en-GB"/>
        </w:rPr>
        <w:t>ot examine the evidence and fi</w:t>
      </w:r>
      <w:r w:rsidRPr="003A78A8">
        <w:rPr>
          <w:lang w:eastAsia="en-GB"/>
        </w:rPr>
        <w:t xml:space="preserve">nd there was discrimination. </w:t>
      </w:r>
      <w:r w:rsidR="00815E74">
        <w:rPr>
          <w:lang w:eastAsia="en-GB"/>
        </w:rPr>
        <w:t xml:space="preserve">The EAT's judgement simply </w:t>
      </w:r>
      <w:r w:rsidR="00815E74">
        <w:rPr>
          <w:lang w:eastAsia="en-GB"/>
        </w:rPr>
        <w:lastRenderedPageBreak/>
        <w:t>meant</w:t>
      </w:r>
      <w:r w:rsidRPr="003A78A8">
        <w:rPr>
          <w:lang w:eastAsia="en-GB"/>
        </w:rPr>
        <w:t xml:space="preserve"> that, in its view, the ET was mistaken in the law in certain limited respects. However, in regard to those matters,</w:t>
      </w:r>
      <w:r w:rsidR="00815E74">
        <w:rPr>
          <w:lang w:eastAsia="en-GB"/>
        </w:rPr>
        <w:t xml:space="preserve"> the EAT recognised that there we</w:t>
      </w:r>
      <w:r w:rsidRPr="003A78A8">
        <w:rPr>
          <w:lang w:eastAsia="en-GB"/>
        </w:rPr>
        <w:t xml:space="preserve">re grounds to appeal against its decision and the Respondents, including the FRAs, were given permission to appeal to the Court of Appeal. The reasons for allowing the firefighters' appeals in so far as the EAT did so, were very limited and the Respondents to the Claims, the Governmental bodies and the Fire and Rescue Authorities, succeeded on a significant number of points. </w:t>
      </w:r>
    </w:p>
    <w:p w14:paraId="3AE4D942" w14:textId="77777777" w:rsidR="007945F7" w:rsidRDefault="007945F7" w:rsidP="00815E74">
      <w:pPr>
        <w:pStyle w:val="ListParagraph"/>
        <w:numPr>
          <w:ilvl w:val="0"/>
          <w:numId w:val="0"/>
        </w:numPr>
        <w:ind w:left="567" w:hanging="567"/>
        <w:jc w:val="both"/>
        <w:rPr>
          <w:rStyle w:val="ReportTemplate"/>
          <w:noProof/>
          <w:lang w:eastAsia="en-GB"/>
        </w:rPr>
      </w:pPr>
      <w:r>
        <w:rPr>
          <w:rStyle w:val="ReportTemplate"/>
          <w:noProof/>
          <w:lang w:eastAsia="en-GB"/>
        </w:rPr>
        <w:t xml:space="preserve"> </w:t>
      </w:r>
    </w:p>
    <w:p w14:paraId="3AE4D943" w14:textId="77777777" w:rsidR="00815E74" w:rsidRDefault="007945F7" w:rsidP="00D71B38">
      <w:pPr>
        <w:pStyle w:val="ListParagraph"/>
        <w:numPr>
          <w:ilvl w:val="0"/>
          <w:numId w:val="9"/>
        </w:numPr>
        <w:ind w:left="426" w:hanging="426"/>
        <w:jc w:val="both"/>
        <w:rPr>
          <w:lang w:eastAsia="en-GB"/>
        </w:rPr>
      </w:pPr>
      <w:r w:rsidRPr="003A78A8">
        <w:rPr>
          <w:lang w:eastAsia="en-GB"/>
        </w:rPr>
        <w:t xml:space="preserve">The appeal to the Court of Appeal </w:t>
      </w:r>
      <w:r>
        <w:rPr>
          <w:lang w:eastAsia="en-GB"/>
        </w:rPr>
        <w:t xml:space="preserve">took place </w:t>
      </w:r>
      <w:r w:rsidR="00815E74">
        <w:rPr>
          <w:lang w:eastAsia="en-GB"/>
        </w:rPr>
        <w:t xml:space="preserve">in November and the judgment was received just before Christmas. It found that the transitional protections introduced with the new Pension </w:t>
      </w:r>
      <w:r w:rsidR="00954CCD">
        <w:rPr>
          <w:lang w:eastAsia="en-GB"/>
        </w:rPr>
        <w:t>S</w:t>
      </w:r>
      <w:r w:rsidR="00815E74">
        <w:rPr>
          <w:lang w:eastAsia="en-GB"/>
        </w:rPr>
        <w:t xml:space="preserve">cheme in 2015 were unlawfully discriminatory on grounds of age. The Court took the view that, having introduced the protections, the Government should justify their discriminatory impact but that it had failed to do so.  The Court did not make a finding that there was any liability in relation to the claims for equal pay or indirect race discrimination.  </w:t>
      </w:r>
    </w:p>
    <w:p w14:paraId="3AE4D944" w14:textId="77777777" w:rsidR="00815E74" w:rsidRDefault="00815E74" w:rsidP="00815E74">
      <w:pPr>
        <w:pStyle w:val="ListParagraph"/>
        <w:numPr>
          <w:ilvl w:val="0"/>
          <w:numId w:val="0"/>
        </w:numPr>
        <w:ind w:left="567" w:hanging="567"/>
        <w:rPr>
          <w:lang w:eastAsia="en-GB"/>
        </w:rPr>
      </w:pPr>
    </w:p>
    <w:p w14:paraId="3AE4D945" w14:textId="77777777" w:rsidR="00E87D75" w:rsidRDefault="00815E74" w:rsidP="00D71B38">
      <w:pPr>
        <w:pStyle w:val="ListParagraph"/>
        <w:numPr>
          <w:ilvl w:val="0"/>
          <w:numId w:val="9"/>
        </w:numPr>
        <w:ind w:left="426" w:hanging="426"/>
        <w:jc w:val="both"/>
        <w:rPr>
          <w:rStyle w:val="ReportTemplate"/>
          <w:lang w:eastAsia="en-GB"/>
        </w:rPr>
      </w:pPr>
      <w:r>
        <w:rPr>
          <w:lang w:eastAsia="en-GB"/>
        </w:rPr>
        <w:t xml:space="preserve">We preserved the immediate position of the FRAs to pursue an application to appeal by registering the application with the Court of Appeal. </w:t>
      </w:r>
      <w:r w:rsidR="00E87D75">
        <w:rPr>
          <w:lang w:eastAsia="en-GB"/>
        </w:rPr>
        <w:t xml:space="preserve">The Government did likewise. </w:t>
      </w:r>
      <w:r w:rsidR="00E87D75" w:rsidRPr="00815E74">
        <w:rPr>
          <w:rStyle w:val="ReportTemplate"/>
          <w:noProof/>
          <w:lang w:eastAsia="en-GB"/>
        </w:rPr>
        <w:t xml:space="preserve">Such applications have to be made to preserve the position on applying to the Supreme Court, and in nearly all cases the Court of Appeal rejects them, which became the case. </w:t>
      </w:r>
    </w:p>
    <w:p w14:paraId="3AE4D946" w14:textId="77777777" w:rsidR="00E87D75" w:rsidRDefault="00E87D75" w:rsidP="00E87D75">
      <w:pPr>
        <w:pStyle w:val="ListParagraph"/>
        <w:numPr>
          <w:ilvl w:val="0"/>
          <w:numId w:val="0"/>
        </w:numPr>
        <w:ind w:left="360"/>
        <w:rPr>
          <w:rStyle w:val="ReportTemplate"/>
          <w:noProof/>
          <w:lang w:eastAsia="en-GB"/>
        </w:rPr>
      </w:pPr>
    </w:p>
    <w:p w14:paraId="3AE4D947" w14:textId="77777777" w:rsidR="000F3959" w:rsidRDefault="00815E74" w:rsidP="00D71B38">
      <w:pPr>
        <w:pStyle w:val="ListParagraph"/>
        <w:numPr>
          <w:ilvl w:val="0"/>
          <w:numId w:val="9"/>
        </w:numPr>
        <w:ind w:left="426" w:hanging="426"/>
        <w:jc w:val="both"/>
        <w:rPr>
          <w:lang w:eastAsia="en-GB"/>
        </w:rPr>
      </w:pPr>
      <w:r>
        <w:rPr>
          <w:lang w:eastAsia="en-GB"/>
        </w:rPr>
        <w:t>A meeting of the Steering Committee</w:t>
      </w:r>
      <w:r w:rsidR="00954CCD" w:rsidRPr="00954CCD">
        <w:t xml:space="preserve"> </w:t>
      </w:r>
      <w:r>
        <w:rPr>
          <w:lang w:eastAsia="en-GB"/>
        </w:rPr>
        <w:t xml:space="preserve">and legal representatives including Adrian Lynch QC was held to consider whether to take an appeal forward if leave was granted. </w:t>
      </w:r>
      <w:r w:rsidR="00E87D75">
        <w:rPr>
          <w:lang w:eastAsia="en-GB"/>
        </w:rPr>
        <w:t>Included in that consideration was application to the Supreme Court and the position the Government might take. FRA/FRSs have been kept up to date on developments.</w:t>
      </w:r>
    </w:p>
    <w:p w14:paraId="3AE4D948" w14:textId="77777777" w:rsidR="000F3959" w:rsidRDefault="000F3959" w:rsidP="000F3959">
      <w:pPr>
        <w:pStyle w:val="ListParagraph"/>
        <w:numPr>
          <w:ilvl w:val="0"/>
          <w:numId w:val="0"/>
        </w:numPr>
        <w:ind w:left="360"/>
        <w:rPr>
          <w:lang w:eastAsia="en-GB"/>
        </w:rPr>
      </w:pPr>
    </w:p>
    <w:p w14:paraId="3AE4D949" w14:textId="77777777" w:rsidR="00E87D75" w:rsidRDefault="00E87D75" w:rsidP="00D71B38">
      <w:pPr>
        <w:pStyle w:val="ListParagraph"/>
        <w:numPr>
          <w:ilvl w:val="0"/>
          <w:numId w:val="9"/>
        </w:numPr>
        <w:ind w:left="426" w:hanging="426"/>
        <w:jc w:val="both"/>
        <w:rPr>
          <w:lang w:eastAsia="en-GB"/>
        </w:rPr>
      </w:pPr>
      <w:r>
        <w:rPr>
          <w:lang w:eastAsia="en-GB"/>
        </w:rPr>
        <w:t xml:space="preserve">The Government has now sought </w:t>
      </w:r>
      <w:r w:rsidRPr="00E87D75">
        <w:rPr>
          <w:lang w:eastAsia="en-GB"/>
        </w:rPr>
        <w:t xml:space="preserve">permission to appeal from the Supreme Court and, therefore, </w:t>
      </w:r>
      <w:r w:rsidR="000F3959">
        <w:rPr>
          <w:lang w:eastAsia="en-GB"/>
        </w:rPr>
        <w:t xml:space="preserve">in line with the discussion within the Steering Committee we have also sought permission. </w:t>
      </w:r>
    </w:p>
    <w:p w14:paraId="3AE4D94A" w14:textId="77777777" w:rsidR="00E87D75" w:rsidRDefault="00E87D75" w:rsidP="00E87D75">
      <w:pPr>
        <w:pStyle w:val="ListParagraph"/>
        <w:numPr>
          <w:ilvl w:val="0"/>
          <w:numId w:val="0"/>
        </w:numPr>
        <w:ind w:left="567"/>
        <w:jc w:val="both"/>
        <w:rPr>
          <w:lang w:eastAsia="en-GB"/>
        </w:rPr>
      </w:pPr>
    </w:p>
    <w:p w14:paraId="3AE4D94B" w14:textId="77777777" w:rsidR="00815E74" w:rsidRDefault="000F3959" w:rsidP="00D71B38">
      <w:pPr>
        <w:pStyle w:val="ListParagraph"/>
        <w:numPr>
          <w:ilvl w:val="0"/>
          <w:numId w:val="9"/>
        </w:numPr>
        <w:ind w:left="426" w:hanging="426"/>
        <w:jc w:val="both"/>
        <w:rPr>
          <w:rStyle w:val="ReportTemplate"/>
          <w:noProof/>
          <w:lang w:eastAsia="en-GB"/>
        </w:rPr>
      </w:pPr>
      <w:r>
        <w:rPr>
          <w:rStyle w:val="ReportTemplate"/>
          <w:noProof/>
          <w:lang w:eastAsia="en-GB"/>
        </w:rPr>
        <w:t>I</w:t>
      </w:r>
      <w:r w:rsidR="00815E74" w:rsidRPr="00815E74">
        <w:rPr>
          <w:rStyle w:val="ReportTemplate"/>
          <w:noProof/>
          <w:lang w:eastAsia="en-GB"/>
        </w:rPr>
        <w:t xml:space="preserve">t will be approximately 3 months before we hear whether the applications to appeal are accepted, and if they are then the hearing of the appeal is unlikely to be until towards the end of this year at the earliest. Please note those time estimates are very much dependent on the number of cases the Supreme Court is dealing with. </w:t>
      </w:r>
    </w:p>
    <w:p w14:paraId="3AE4D94C" w14:textId="77777777" w:rsidR="00815E74" w:rsidRPr="00815E74" w:rsidRDefault="00815E74" w:rsidP="00815E74">
      <w:pPr>
        <w:pStyle w:val="ListParagraph"/>
        <w:numPr>
          <w:ilvl w:val="0"/>
          <w:numId w:val="0"/>
        </w:numPr>
        <w:ind w:left="567" w:hanging="567"/>
        <w:rPr>
          <w:rStyle w:val="ReportTemplate"/>
          <w:noProof/>
          <w:lang w:eastAsia="en-GB"/>
        </w:rPr>
      </w:pPr>
    </w:p>
    <w:p w14:paraId="3AE4D94D" w14:textId="77777777" w:rsidR="00815E74" w:rsidRPr="00815E74" w:rsidRDefault="00815E74" w:rsidP="00D71B38">
      <w:pPr>
        <w:pStyle w:val="ListParagraph"/>
        <w:numPr>
          <w:ilvl w:val="0"/>
          <w:numId w:val="9"/>
        </w:numPr>
        <w:ind w:left="426" w:hanging="426"/>
        <w:jc w:val="both"/>
        <w:rPr>
          <w:rStyle w:val="ReportTemplate"/>
          <w:noProof/>
          <w:lang w:eastAsia="en-GB"/>
        </w:rPr>
      </w:pPr>
      <w:r w:rsidRPr="00815E74">
        <w:rPr>
          <w:rStyle w:val="ReportTemplate"/>
          <w:noProof/>
          <w:lang w:eastAsia="en-GB"/>
        </w:rPr>
        <w:t xml:space="preserve">In the interim there are no steps that fire and rescue authorities need to take, including in respect of firefighters’ pensions. This is because any such actions will ultimately depend on the outcome of the appeal, if the applications to the Supreme Court are accepted, and/or on the outcome of any tribunal decision on remedy, should the cases remain remitted to the tribunal on that point. There is also the possibility that if necessary remedy issues could be resolved through discussions between the parties, but with appeals pending there are no indications at this time of such discussions. </w:t>
      </w:r>
    </w:p>
    <w:p w14:paraId="3AE4D94E" w14:textId="77777777" w:rsidR="007945F7" w:rsidRDefault="007945F7" w:rsidP="00815E74">
      <w:pPr>
        <w:pStyle w:val="ListParagraph"/>
        <w:numPr>
          <w:ilvl w:val="0"/>
          <w:numId w:val="0"/>
        </w:numPr>
        <w:ind w:left="567" w:hanging="567"/>
        <w:jc w:val="both"/>
        <w:rPr>
          <w:rStyle w:val="ReportTemplate"/>
          <w:noProof/>
          <w:lang w:eastAsia="en-GB"/>
        </w:rPr>
      </w:pPr>
    </w:p>
    <w:p w14:paraId="3AE4D94F" w14:textId="77777777" w:rsidR="007945F7" w:rsidRDefault="007945F7" w:rsidP="00D71B38">
      <w:pPr>
        <w:pStyle w:val="ListParagraph"/>
        <w:numPr>
          <w:ilvl w:val="0"/>
          <w:numId w:val="9"/>
        </w:numPr>
        <w:ind w:left="426" w:hanging="426"/>
        <w:jc w:val="both"/>
        <w:rPr>
          <w:lang w:eastAsia="en-GB"/>
        </w:rPr>
      </w:pPr>
      <w:r w:rsidRPr="003A78A8">
        <w:rPr>
          <w:lang w:eastAsia="en-GB"/>
        </w:rPr>
        <w:t xml:space="preserve">We </w:t>
      </w:r>
      <w:r w:rsidR="000F3959">
        <w:rPr>
          <w:lang w:eastAsia="en-GB"/>
        </w:rPr>
        <w:t xml:space="preserve">will </w:t>
      </w:r>
      <w:r w:rsidRPr="003A78A8">
        <w:rPr>
          <w:lang w:eastAsia="en-GB"/>
        </w:rPr>
        <w:t xml:space="preserve">continue to work closely with the Steering </w:t>
      </w:r>
      <w:r w:rsidR="00787520">
        <w:rPr>
          <w:lang w:eastAsia="en-GB"/>
        </w:rPr>
        <w:t>Committee</w:t>
      </w:r>
      <w:r w:rsidR="00787520" w:rsidRPr="003A78A8">
        <w:rPr>
          <w:lang w:eastAsia="en-GB"/>
        </w:rPr>
        <w:t xml:space="preserve"> set</w:t>
      </w:r>
      <w:r w:rsidRPr="003A78A8">
        <w:rPr>
          <w:lang w:eastAsia="en-GB"/>
        </w:rPr>
        <w:t xml:space="preserve"> up by the National Employers at the start of the legal process following agreement that the LGA would </w:t>
      </w:r>
      <w:r w:rsidRPr="003A78A8">
        <w:rPr>
          <w:lang w:eastAsia="en-GB"/>
        </w:rPr>
        <w:lastRenderedPageBreak/>
        <w:t xml:space="preserve">represent all UK fire and rescue services on a collective, cost sharing basis. While covered by the collective approach, the cases in Scotland, Wales and Northern Ireland are currently stayed pending the outcome of the English test cases. The Steering </w:t>
      </w:r>
      <w:r w:rsidR="00787520">
        <w:rPr>
          <w:lang w:eastAsia="en-GB"/>
        </w:rPr>
        <w:t xml:space="preserve">Committee </w:t>
      </w:r>
      <w:r w:rsidRPr="003A78A8">
        <w:rPr>
          <w:lang w:eastAsia="en-GB"/>
        </w:rPr>
        <w:t>has legal and HR advisers from varying types of fire and rescue services across the UK, the Advisory Forum legal adviser, employers’ secretariat, and from the LGA its Corporate Legal Adviser and a Senior Employment Law Adviser.</w:t>
      </w:r>
    </w:p>
    <w:p w14:paraId="3AE4D950" w14:textId="77777777" w:rsidR="000F3959" w:rsidRDefault="000F3959" w:rsidP="000F3959">
      <w:pPr>
        <w:pStyle w:val="ListParagraph"/>
        <w:numPr>
          <w:ilvl w:val="0"/>
          <w:numId w:val="0"/>
        </w:numPr>
        <w:ind w:left="360"/>
        <w:rPr>
          <w:lang w:eastAsia="en-GB"/>
        </w:rPr>
      </w:pPr>
    </w:p>
    <w:p w14:paraId="3AE4D951" w14:textId="77777777" w:rsidR="000F3959" w:rsidRDefault="000F3959" w:rsidP="00D71B38">
      <w:pPr>
        <w:pStyle w:val="ListParagraph"/>
        <w:numPr>
          <w:ilvl w:val="0"/>
          <w:numId w:val="9"/>
        </w:numPr>
        <w:ind w:left="426" w:hanging="426"/>
        <w:jc w:val="both"/>
        <w:rPr>
          <w:lang w:eastAsia="en-GB"/>
        </w:rPr>
      </w:pPr>
      <w:r w:rsidRPr="000F3959">
        <w:rPr>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w:t>
      </w:r>
    </w:p>
    <w:p w14:paraId="3AE4D952" w14:textId="77777777" w:rsidR="00C80DD5" w:rsidRPr="00C80DD5" w:rsidRDefault="00C80DD5" w:rsidP="00C80DD5">
      <w:pPr>
        <w:ind w:left="360" w:hanging="360"/>
        <w:rPr>
          <w:b/>
          <w:lang w:eastAsia="en-GB"/>
        </w:rPr>
      </w:pPr>
      <w:r>
        <w:rPr>
          <w:b/>
          <w:lang w:eastAsia="en-GB"/>
        </w:rPr>
        <w:t>LGA Diversity Masterclasses</w:t>
      </w:r>
    </w:p>
    <w:p w14:paraId="3AE4D953" w14:textId="77777777" w:rsidR="00C80DD5" w:rsidRDefault="00C80DD5" w:rsidP="00D71B38">
      <w:pPr>
        <w:pStyle w:val="ListParagraph"/>
        <w:numPr>
          <w:ilvl w:val="0"/>
          <w:numId w:val="9"/>
        </w:numPr>
        <w:ind w:left="426" w:hanging="426"/>
        <w:jc w:val="both"/>
        <w:rPr>
          <w:lang w:eastAsia="en-GB"/>
        </w:rPr>
      </w:pPr>
      <w:r>
        <w:rPr>
          <w:lang w:eastAsia="en-GB"/>
        </w:rPr>
        <w:t xml:space="preserve">The Workforce team is involved in each of these Masterclasses for authority members and will be making a presentation on gender pay gap issues at each of the five events.  </w:t>
      </w:r>
      <w:r w:rsidR="000958FC">
        <w:rPr>
          <w:lang w:eastAsia="en-GB"/>
        </w:rPr>
        <w:t xml:space="preserve">Their presentation looks at </w:t>
      </w:r>
      <w:r w:rsidR="000958FC" w:rsidRPr="000958FC">
        <w:rPr>
          <w:lang w:eastAsia="en-GB"/>
        </w:rPr>
        <w:t>the current position on the gender pay gap in fire authorities and goes onto explore options for closing that gap</w:t>
      </w:r>
      <w:r w:rsidR="000958FC">
        <w:rPr>
          <w:lang w:eastAsia="en-GB"/>
        </w:rPr>
        <w:t>, such as improving the recruitment and retention of women and encouraging culture change to further support women working in the fire service</w:t>
      </w:r>
      <w:r w:rsidR="000958FC" w:rsidRPr="000958FC">
        <w:rPr>
          <w:lang w:eastAsia="en-GB"/>
        </w:rPr>
        <w:t>.</w:t>
      </w:r>
    </w:p>
    <w:p w14:paraId="3AE4D954" w14:textId="77777777" w:rsidR="00D65433" w:rsidRDefault="00D65433" w:rsidP="00D65433">
      <w:pPr>
        <w:ind w:left="360" w:hanging="360"/>
        <w:rPr>
          <w:b/>
          <w:lang w:eastAsia="en-GB"/>
        </w:rPr>
      </w:pPr>
      <w:r>
        <w:rPr>
          <w:b/>
          <w:lang w:eastAsia="en-GB"/>
        </w:rPr>
        <w:t>Implications for Wales</w:t>
      </w:r>
    </w:p>
    <w:p w14:paraId="3AE4D955" w14:textId="77777777" w:rsidR="00D65433" w:rsidRDefault="00C3265F" w:rsidP="00D71B38">
      <w:pPr>
        <w:pStyle w:val="ListParagraph"/>
        <w:numPr>
          <w:ilvl w:val="0"/>
          <w:numId w:val="9"/>
        </w:numPr>
        <w:ind w:left="426" w:hanging="426"/>
        <w:jc w:val="both"/>
        <w:rPr>
          <w:lang w:eastAsia="en-GB"/>
        </w:rPr>
      </w:pPr>
      <w:r>
        <w:rPr>
          <w:lang w:eastAsia="en-GB"/>
        </w:rPr>
        <w:t xml:space="preserve">Each of the </w:t>
      </w:r>
      <w:r w:rsidR="0037412D">
        <w:rPr>
          <w:lang w:eastAsia="en-GB"/>
        </w:rPr>
        <w:t xml:space="preserve">wider workforce </w:t>
      </w:r>
      <w:r>
        <w:rPr>
          <w:lang w:eastAsia="en-GB"/>
        </w:rPr>
        <w:t xml:space="preserve">matters in this report have the same implications for Wales as for England and we are working with WLGA, Welsh FRAs and FRSs as appropriate. </w:t>
      </w:r>
      <w:r w:rsidR="00C80DD5">
        <w:rPr>
          <w:lang w:eastAsia="en-GB"/>
        </w:rPr>
        <w:t>The WLGA is one of the four employer stakeholder bodies on the NJC for Local Authority Fire and Rescue Services.</w:t>
      </w:r>
    </w:p>
    <w:p w14:paraId="3AE4D956" w14:textId="77777777" w:rsidR="00563922" w:rsidRDefault="00563922" w:rsidP="00563922">
      <w:pPr>
        <w:pStyle w:val="ListParagraph"/>
        <w:numPr>
          <w:ilvl w:val="0"/>
          <w:numId w:val="0"/>
        </w:numPr>
        <w:ind w:left="567"/>
        <w:jc w:val="both"/>
        <w:rPr>
          <w:lang w:eastAsia="en-GB"/>
        </w:rPr>
      </w:pPr>
    </w:p>
    <w:p w14:paraId="3AE4D957" w14:textId="77777777" w:rsidR="00563922" w:rsidRDefault="0037412D" w:rsidP="00D71B38">
      <w:pPr>
        <w:pStyle w:val="ListParagraph"/>
        <w:numPr>
          <w:ilvl w:val="0"/>
          <w:numId w:val="9"/>
        </w:numPr>
        <w:ind w:left="426" w:hanging="426"/>
        <w:jc w:val="both"/>
        <w:rPr>
          <w:lang w:eastAsia="en-GB"/>
        </w:rPr>
      </w:pPr>
      <w:r>
        <w:rPr>
          <w:lang w:eastAsia="en-GB"/>
        </w:rPr>
        <w:t>In respect of pensions, t</w:t>
      </w:r>
      <w:r w:rsidR="00563922">
        <w:rPr>
          <w:lang w:eastAsia="en-GB"/>
        </w:rPr>
        <w:t>he Welsh Scheme Advisory Board has consulted separately on the breach to the employer c</w:t>
      </w:r>
      <w:r>
        <w:rPr>
          <w:lang w:eastAsia="en-GB"/>
        </w:rPr>
        <w:t>ost cap.  The LGA Firefighters Pensions A</w:t>
      </w:r>
      <w:r w:rsidR="00563922">
        <w:rPr>
          <w:lang w:eastAsia="en-GB"/>
        </w:rPr>
        <w:t>dviser attends the Welsh</w:t>
      </w:r>
      <w:r w:rsidR="00A829D1">
        <w:rPr>
          <w:lang w:eastAsia="en-GB"/>
        </w:rPr>
        <w:t xml:space="preserve"> Scheme Advisory Board meetings.</w:t>
      </w:r>
    </w:p>
    <w:p w14:paraId="3AE4D958" w14:textId="77777777" w:rsidR="00D65433" w:rsidRDefault="00D65433" w:rsidP="00D65433">
      <w:pPr>
        <w:ind w:left="360" w:hanging="360"/>
        <w:rPr>
          <w:b/>
          <w:lang w:eastAsia="en-GB"/>
        </w:rPr>
      </w:pPr>
      <w:r>
        <w:rPr>
          <w:b/>
          <w:lang w:eastAsia="en-GB"/>
        </w:rPr>
        <w:t>Next steps</w:t>
      </w:r>
    </w:p>
    <w:p w14:paraId="3AE4D959" w14:textId="77777777" w:rsidR="00C80DD5" w:rsidRPr="00C80DD5" w:rsidRDefault="00C80DD5" w:rsidP="00D71B38">
      <w:pPr>
        <w:pStyle w:val="ListParagraph"/>
        <w:numPr>
          <w:ilvl w:val="0"/>
          <w:numId w:val="9"/>
        </w:numPr>
        <w:ind w:left="426" w:hanging="426"/>
        <w:rPr>
          <w:lang w:eastAsia="en-GB"/>
        </w:rPr>
      </w:pPr>
      <w:bookmarkStart w:id="1" w:name="_GoBack"/>
      <w:bookmarkEnd w:id="1"/>
      <w:r w:rsidRPr="00C80DD5">
        <w:rPr>
          <w:lang w:eastAsia="en-GB"/>
        </w:rPr>
        <w:t>Officers to take forward members comments</w:t>
      </w:r>
      <w:r>
        <w:rPr>
          <w:lang w:eastAsia="en-GB"/>
        </w:rPr>
        <w:t>.</w:t>
      </w:r>
    </w:p>
    <w:sectPr w:rsidR="00C80DD5" w:rsidRPr="00C80DD5" w:rsidSect="0037412D">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4D95E" w14:textId="77777777" w:rsidR="00BF4DC5" w:rsidRPr="00C803F3" w:rsidRDefault="00BF4DC5" w:rsidP="00C803F3">
      <w:r>
        <w:separator/>
      </w:r>
    </w:p>
  </w:endnote>
  <w:endnote w:type="continuationSeparator" w:id="0">
    <w:p w14:paraId="3AE4D95F" w14:textId="77777777" w:rsidR="00BF4DC5" w:rsidRPr="00C803F3" w:rsidRDefault="00BF4DC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D95C" w14:textId="77777777" w:rsidR="00BF4DC5" w:rsidRPr="00C803F3" w:rsidRDefault="00BF4DC5" w:rsidP="00C803F3">
      <w:r>
        <w:separator/>
      </w:r>
    </w:p>
  </w:footnote>
  <w:footnote w:type="continuationSeparator" w:id="0">
    <w:p w14:paraId="3AE4D95D" w14:textId="77777777" w:rsidR="00BF4DC5" w:rsidRPr="00C803F3" w:rsidRDefault="00BF4DC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D960" w14:textId="77777777" w:rsidR="00954CCD" w:rsidRDefault="00954CC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54CCD" w:rsidRPr="00C25CA7" w14:paraId="3AE4D964" w14:textId="77777777" w:rsidTr="000F69FB">
      <w:trPr>
        <w:trHeight w:val="416"/>
      </w:trPr>
      <w:tc>
        <w:tcPr>
          <w:tcW w:w="5812" w:type="dxa"/>
          <w:vMerge w:val="restart"/>
        </w:tcPr>
        <w:p w14:paraId="3AE4D961" w14:textId="77777777" w:rsidR="00954CCD" w:rsidRPr="00C803F3" w:rsidRDefault="00954CCD" w:rsidP="00C803F3">
          <w:r w:rsidRPr="00C803F3">
            <w:rPr>
              <w:noProof/>
              <w:lang w:eastAsia="en-GB"/>
            </w:rPr>
            <w:drawing>
              <wp:inline distT="0" distB="0" distL="0" distR="0" wp14:anchorId="3AE4D96C" wp14:editId="3AE4D96D">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AE4D962" w14:textId="77777777" w:rsidR="00954CCD" w:rsidRDefault="00954CCD" w:rsidP="00E37C8D">
              <w:pPr>
                <w:pStyle w:val="Header"/>
                <w:ind w:left="0" w:firstLine="0"/>
                <w:rPr>
                  <w:rFonts w:cs="Arial"/>
                  <w:b/>
                </w:rPr>
              </w:pPr>
              <w:r w:rsidRPr="00C23A63">
                <w:rPr>
                  <w:rFonts w:cs="Arial"/>
                  <w:b/>
                </w:rPr>
                <w:t xml:space="preserve">Fire </w:t>
              </w:r>
              <w:r>
                <w:rPr>
                  <w:rFonts w:cs="Arial"/>
                  <w:b/>
                </w:rPr>
                <w:t>Services Management Committee</w:t>
              </w:r>
            </w:p>
            <w:p w14:paraId="3AE4D963" w14:textId="77777777" w:rsidR="00954CCD" w:rsidRPr="00C803F3" w:rsidRDefault="00954CCD" w:rsidP="00C803F3"/>
          </w:tc>
        </w:sdtContent>
      </w:sdt>
    </w:tr>
    <w:tr w:rsidR="00954CCD" w14:paraId="3AE4D967" w14:textId="77777777" w:rsidTr="000F69FB">
      <w:trPr>
        <w:trHeight w:val="406"/>
      </w:trPr>
      <w:tc>
        <w:tcPr>
          <w:tcW w:w="5812" w:type="dxa"/>
          <w:vMerge/>
        </w:tcPr>
        <w:p w14:paraId="3AE4D965" w14:textId="77777777" w:rsidR="00954CCD" w:rsidRPr="00A627DD" w:rsidRDefault="00954CCD"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EndPr/>
          <w:sdtContent>
            <w:p w14:paraId="3AE4D966" w14:textId="77777777" w:rsidR="00954CCD" w:rsidRPr="00C803F3" w:rsidRDefault="00954CCD" w:rsidP="00EF538C">
              <w:r>
                <w:t>25 January 2019</w:t>
              </w:r>
            </w:p>
          </w:sdtContent>
        </w:sdt>
      </w:tc>
    </w:tr>
    <w:tr w:rsidR="00954CCD" w:rsidRPr="00C25CA7" w14:paraId="3AE4D96A" w14:textId="77777777" w:rsidTr="000F69FB">
      <w:trPr>
        <w:trHeight w:val="89"/>
      </w:trPr>
      <w:tc>
        <w:tcPr>
          <w:tcW w:w="5812" w:type="dxa"/>
          <w:vMerge/>
        </w:tcPr>
        <w:p w14:paraId="3AE4D968" w14:textId="77777777" w:rsidR="00954CCD" w:rsidRPr="00A627DD" w:rsidRDefault="00954CCD" w:rsidP="00C803F3"/>
      </w:tc>
      <w:tc>
        <w:tcPr>
          <w:tcW w:w="4106" w:type="dxa"/>
        </w:tcPr>
        <w:sdt>
          <w:sdtPr>
            <w:alias w:val="Item no."/>
            <w:tag w:val="Item no."/>
            <w:id w:val="-624237752"/>
            <w:placeholder>
              <w:docPart w:val="E82C81CF1FFA4ABEBE434B5B73B7C3E5"/>
            </w:placeholder>
          </w:sdtPr>
          <w:sdtEndPr/>
          <w:sdtContent>
            <w:p w14:paraId="3AE4D969" w14:textId="77777777" w:rsidR="00954CCD" w:rsidRPr="00C803F3" w:rsidRDefault="00954CCD" w:rsidP="00E37C8D">
              <w:r>
                <w:t xml:space="preserve">  </w:t>
              </w:r>
            </w:p>
          </w:sdtContent>
        </w:sdt>
      </w:tc>
    </w:tr>
  </w:tbl>
  <w:p w14:paraId="3AE4D96B" w14:textId="77777777" w:rsidR="00954CCD" w:rsidRDefault="00954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EB3"/>
    <w:multiLevelType w:val="hybridMultilevel"/>
    <w:tmpl w:val="9CCC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A00ECD"/>
    <w:multiLevelType w:val="hybridMultilevel"/>
    <w:tmpl w:val="F45C173C"/>
    <w:lvl w:ilvl="0" w:tplc="F668B1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264DD6"/>
    <w:multiLevelType w:val="hybridMultilevel"/>
    <w:tmpl w:val="D84A15CC"/>
    <w:lvl w:ilvl="0" w:tplc="A4F4AD1A">
      <w:start w:val="1"/>
      <w:numFmt w:val="decimal"/>
      <w:lvlText w:val="%1."/>
      <w:lvlJc w:val="left"/>
      <w:pPr>
        <w:ind w:left="1080" w:hanging="360"/>
      </w:pPr>
      <w:rPr>
        <w:rFonts w:ascii="Calibri" w:hAnsi="Calibri" w:cs="Times New Roman" w:hint="default"/>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225"/>
    <w:rsid w:val="00016097"/>
    <w:rsid w:val="000958FC"/>
    <w:rsid w:val="000F3959"/>
    <w:rsid w:val="000F69FB"/>
    <w:rsid w:val="001B36CE"/>
    <w:rsid w:val="001F138B"/>
    <w:rsid w:val="002539E9"/>
    <w:rsid w:val="00277B4E"/>
    <w:rsid w:val="002865BF"/>
    <w:rsid w:val="00301A51"/>
    <w:rsid w:val="0037412D"/>
    <w:rsid w:val="00563922"/>
    <w:rsid w:val="005D62D2"/>
    <w:rsid w:val="00712C86"/>
    <w:rsid w:val="007622BA"/>
    <w:rsid w:val="00787520"/>
    <w:rsid w:val="007945F7"/>
    <w:rsid w:val="00795C95"/>
    <w:rsid w:val="007D47C1"/>
    <w:rsid w:val="0080661C"/>
    <w:rsid w:val="00815E74"/>
    <w:rsid w:val="00891AE9"/>
    <w:rsid w:val="00954CCD"/>
    <w:rsid w:val="009610C5"/>
    <w:rsid w:val="009B1AA8"/>
    <w:rsid w:val="009B6F95"/>
    <w:rsid w:val="00A829D1"/>
    <w:rsid w:val="00B447CD"/>
    <w:rsid w:val="00B84F31"/>
    <w:rsid w:val="00BA252F"/>
    <w:rsid w:val="00BC160F"/>
    <w:rsid w:val="00BF4DC5"/>
    <w:rsid w:val="00C3265F"/>
    <w:rsid w:val="00C803F3"/>
    <w:rsid w:val="00C80DD5"/>
    <w:rsid w:val="00CF0DBB"/>
    <w:rsid w:val="00D45B4D"/>
    <w:rsid w:val="00D65433"/>
    <w:rsid w:val="00D71B38"/>
    <w:rsid w:val="00DA7394"/>
    <w:rsid w:val="00DB0942"/>
    <w:rsid w:val="00E37C8D"/>
    <w:rsid w:val="00E55474"/>
    <w:rsid w:val="00E87D75"/>
    <w:rsid w:val="00EF538C"/>
    <w:rsid w:val="00F43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D8DB"/>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E37C8D"/>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E37C8D"/>
    <w:rPr>
      <w:color w:val="0000FF"/>
      <w:u w:val="single"/>
    </w:rPr>
  </w:style>
  <w:style w:type="paragraph" w:styleId="FootnoteText">
    <w:name w:val="footnote text"/>
    <w:basedOn w:val="Normal"/>
    <w:link w:val="FootnoteTextChar"/>
    <w:semiHidden/>
    <w:rsid w:val="00E37C8D"/>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E37C8D"/>
    <w:rPr>
      <w:rFonts w:ascii="Frutiger 45 Light" w:eastAsia="Times New Roman" w:hAnsi="Frutiger 45 Light" w:cs="Times New Roman"/>
      <w:sz w:val="20"/>
      <w:szCs w:val="20"/>
      <w:lang w:eastAsia="en-US"/>
    </w:rPr>
  </w:style>
  <w:style w:type="character" w:styleId="FootnoteReference">
    <w:name w:val="footnote reference"/>
    <w:semiHidden/>
    <w:rsid w:val="00E37C8D"/>
    <w:rPr>
      <w:vertAlign w:val="superscript"/>
    </w:rPr>
  </w:style>
  <w:style w:type="table" w:customStyle="1" w:styleId="TableGrid1">
    <w:name w:val="Table Grid1"/>
    <w:basedOn w:val="TableNormal"/>
    <w:next w:val="TableGrid"/>
    <w:rsid w:val="002865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DD5"/>
    <w:rPr>
      <w:sz w:val="16"/>
      <w:szCs w:val="16"/>
    </w:rPr>
  </w:style>
  <w:style w:type="paragraph" w:styleId="CommentText">
    <w:name w:val="annotation text"/>
    <w:basedOn w:val="Normal"/>
    <w:link w:val="CommentTextChar"/>
    <w:uiPriority w:val="99"/>
    <w:semiHidden/>
    <w:unhideWhenUsed/>
    <w:rsid w:val="00C80DD5"/>
    <w:pPr>
      <w:spacing w:line="240" w:lineRule="auto"/>
    </w:pPr>
    <w:rPr>
      <w:sz w:val="20"/>
      <w:szCs w:val="20"/>
    </w:rPr>
  </w:style>
  <w:style w:type="character" w:customStyle="1" w:styleId="CommentTextChar">
    <w:name w:val="Comment Text Char"/>
    <w:basedOn w:val="DefaultParagraphFont"/>
    <w:link w:val="CommentText"/>
    <w:uiPriority w:val="99"/>
    <w:semiHidden/>
    <w:rsid w:val="00C80DD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80DD5"/>
    <w:rPr>
      <w:b/>
      <w:bCs/>
    </w:rPr>
  </w:style>
  <w:style w:type="character" w:customStyle="1" w:styleId="CommentSubjectChar">
    <w:name w:val="Comment Subject Char"/>
    <w:basedOn w:val="CommentTextChar"/>
    <w:link w:val="CommentSubject"/>
    <w:uiPriority w:val="99"/>
    <w:semiHidden/>
    <w:rsid w:val="00C80DD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8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D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alcock@loca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psboard.org/index.php/board-publications/administration-and-benchmarking-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92771"/>
    <w:rsid w:val="001C79DF"/>
    <w:rsid w:val="002A059E"/>
    <w:rsid w:val="002F1F5C"/>
    <w:rsid w:val="003A2894"/>
    <w:rsid w:val="003E4CD0"/>
    <w:rsid w:val="004E2C7C"/>
    <w:rsid w:val="00896D7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a2450aae-1d20-4711-921f-ba4e3dc97b4d"/>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B8A255A</Template>
  <TotalTime>3</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2019-01-18T15:07:00Z</dcterms:created>
  <dcterms:modified xsi:type="dcterms:W3CDTF">2019-01-18T16:46:00Z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